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4AB6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2ACC200">
            <w:pPr>
              <w:pStyle w:val="7"/>
              <w:framePr w:wrap="notBeside" w:vAnchor="page" w:hAnchor="page" w:x="1372" w:y="568"/>
              <w:tabs>
                <w:tab w:val="clear" w:pos="4153"/>
                <w:tab w:val="clear" w:pos="8306"/>
              </w:tabs>
              <w:jc w:val="left"/>
              <w:rPr>
                <w:rFonts w:ascii="黑体" w:hAnsi="黑体" w:eastAsia="黑体"/>
                <w:kern w:val="0"/>
                <w:sz w:val="21"/>
                <w:szCs w:val="21"/>
              </w:rPr>
            </w:pPr>
            <w:bookmarkStart w:id="0" w:name="mbookmark10"/>
            <w:bookmarkStart w:id="1" w:name="_Toc98860773"/>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14:paraId="037D52AB">
            <w:pPr>
              <w:pStyle w:val="7"/>
              <w:framePr w:wrap="notBeside" w:vAnchor="page" w:hAnchor="page" w:x="1372" w:y="568"/>
              <w:tabs>
                <w:tab w:val="clear" w:pos="4153"/>
                <w:tab w:val="clear" w:pos="8306"/>
              </w:tabs>
              <w:jc w:val="both"/>
              <w:rPr>
                <w:rFonts w:ascii="黑体" w:hAnsi="黑体" w:eastAsia="黑体"/>
                <w:kern w:val="0"/>
                <w:sz w:val="21"/>
                <w:szCs w:val="21"/>
              </w:rPr>
            </w:pPr>
            <w:r>
              <w:rPr>
                <w:rFonts w:ascii="黑体" w:hAnsi="黑体" w:eastAsia="黑体"/>
                <w:kern w:val="0"/>
                <w:sz w:val="21"/>
                <w:szCs w:val="21"/>
              </w:rPr>
              <w:fldChar w:fldCharType="begin">
                <w:ffData>
                  <w:name w:val="ICS"/>
                  <w:enabled/>
                  <w:calcOnExit w:val="0"/>
                  <w:textInput>
                    <w:default w:val="点击此处添加ICS号"/>
                  </w:textInput>
                </w:ffData>
              </w:fldChar>
            </w:r>
            <w:bookmarkStart w:id="2" w:name="ICS"/>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07.060</w:t>
            </w:r>
            <w:r>
              <w:rPr>
                <w:rFonts w:ascii="黑体" w:hAnsi="黑体" w:eastAsia="黑体"/>
                <w:kern w:val="0"/>
                <w:sz w:val="21"/>
                <w:szCs w:val="21"/>
              </w:rPr>
              <w:fldChar w:fldCharType="end"/>
            </w:r>
            <w:bookmarkEnd w:id="2"/>
          </w:p>
        </w:tc>
      </w:tr>
      <w:tr w14:paraId="2E878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EACA7C">
            <w:pPr>
              <w:pStyle w:val="7"/>
              <w:framePr w:wrap="notBeside" w:vAnchor="page" w:hAnchor="page" w:x="1372" w:y="568"/>
              <w:tabs>
                <w:tab w:val="clear" w:pos="4153"/>
                <w:tab w:val="clear" w:pos="8306"/>
              </w:tabs>
              <w:spacing w:before="40"/>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14:paraId="046C9CF8">
            <w:pPr>
              <w:pStyle w:val="7"/>
              <w:framePr w:wrap="notBeside" w:vAnchor="page" w:hAnchor="page" w:x="1372" w:y="568"/>
              <w:tabs>
                <w:tab w:val="clear" w:pos="4153"/>
                <w:tab w:val="clear" w:pos="8306"/>
              </w:tabs>
              <w:spacing w:before="40"/>
              <w:jc w:val="left"/>
              <w:rPr>
                <w:rFonts w:ascii="黑体" w:hAnsi="黑体" w:eastAsia="黑体"/>
                <w:kern w:val="0"/>
                <w:sz w:val="21"/>
                <w:szCs w:val="21"/>
              </w:rPr>
            </w:pPr>
            <w:r>
              <w:rPr>
                <w:rFonts w:ascii="黑体" w:hAnsi="黑体" w:eastAsia="黑体"/>
                <w:kern w:val="0"/>
                <w:sz w:val="21"/>
                <w:szCs w:val="21"/>
              </w:rPr>
              <w:fldChar w:fldCharType="begin">
                <w:ffData>
                  <w:name w:val="CCS"/>
                  <w:enabled/>
                  <w:calcOnExit w:val="0"/>
                  <w:textInput>
                    <w:default w:val="点击此处添加CCS号"/>
                  </w:textInput>
                </w:ffData>
              </w:fldChar>
            </w:r>
            <w:bookmarkStart w:id="3" w:name="CCS"/>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A 45</w:t>
            </w:r>
            <w:r>
              <w:rPr>
                <w:rFonts w:ascii="黑体" w:hAnsi="黑体" w:eastAsia="黑体"/>
                <w:kern w:val="0"/>
                <w:sz w:val="21"/>
                <w:szCs w:val="21"/>
              </w:rPr>
              <w:fldChar w:fldCharType="end"/>
            </w:r>
            <w:bookmarkEnd w:id="3"/>
          </w:p>
        </w:tc>
      </w:tr>
      <w:tr w14:paraId="0F5A8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B0581E6">
            <w:pPr>
              <w:pStyle w:val="7"/>
              <w:framePr w:wrap="notBeside" w:vAnchor="page" w:hAnchor="page" w:x="1372" w:y="568"/>
              <w:tabs>
                <w:tab w:val="clear" w:pos="4153"/>
                <w:tab w:val="clear" w:pos="8306"/>
              </w:tabs>
              <w:spacing w:before="40"/>
              <w:jc w:val="left"/>
              <w:rPr>
                <w:rFonts w:ascii="Times New Roman" w:hAnsi="Times New Roman" w:eastAsia="黑体"/>
                <w:kern w:val="0"/>
                <w:sz w:val="21"/>
                <w:szCs w:val="21"/>
              </w:rPr>
            </w:pPr>
            <w:bookmarkStart w:id="4" w:name="_Hlk26473981"/>
          </w:p>
        </w:tc>
        <w:tc>
          <w:tcPr>
            <w:tcW w:w="8855" w:type="dxa"/>
          </w:tcPr>
          <w:p w14:paraId="1CC5A646">
            <w:pPr>
              <w:pStyle w:val="56"/>
              <w:keepNext w:val="0"/>
              <w:keepLines w:val="0"/>
              <w:pageBreakBefore w:val="0"/>
              <w:framePr w:wrap="notBeside" w:vAnchor="page" w:hAnchor="page" w:x="1372" w:y="568"/>
              <w:widowControl/>
              <w:shd w:val="clear" w:color="FFFFFF" w:fill="FFFFFF"/>
              <w:kinsoku/>
              <w:wordWrap/>
              <w:overflowPunct/>
              <w:topLinePunct w:val="0"/>
              <w:autoSpaceDE/>
              <w:autoSpaceDN/>
              <w:bidi w:val="0"/>
              <w:adjustRightInd/>
              <w:snapToGrid/>
              <w:ind w:left="0" w:right="0"/>
              <w:textAlignment w:val="auto"/>
              <w:rPr>
                <w:rFonts w:ascii="黑体" w:hAnsi="黑体" w:eastAsia="黑体"/>
                <w:kern w:val="0"/>
                <w:szCs w:val="21"/>
              </w:rPr>
            </w:pPr>
            <w:r>
              <w:rPr>
                <w:w w:val="170"/>
                <w:kern w:val="0"/>
              </w:rPr>
              <w:fldChar w:fldCharType="begin"/>
            </w:r>
            <w:r>
              <w:rPr>
                <w:w w:val="170"/>
                <w:kern w:val="0"/>
              </w:rPr>
              <w:instrText xml:space="preserve"> REF  StdType </w:instrText>
            </w:r>
            <w:r>
              <w:rPr>
                <w:w w:val="170"/>
                <w:kern w:val="0"/>
              </w:rPr>
              <w:fldChar w:fldCharType="separate"/>
            </w:r>
            <w:r>
              <w:rPr>
                <w:w w:val="170"/>
                <w:kern w:val="0"/>
              </w:rPr>
              <w:t>T/</w:t>
            </w:r>
            <w:r>
              <w:rPr>
                <w:w w:val="170"/>
                <w:kern w:val="0"/>
              </w:rPr>
              <w:fldChar w:fldCharType="end"/>
            </w:r>
            <w:bookmarkStart w:id="5" w:name="stdType2"/>
            <w:r>
              <w:rPr>
                <w:rFonts w:hint="eastAsia" w:ascii="Times New Roman" w:hAnsi="Times New Roman" w:eastAsia="宋体" w:cs="Times New Roman"/>
                <w:b/>
                <w:w w:val="130"/>
                <w:sz w:val="96"/>
                <w:szCs w:val="96"/>
                <w:lang w:val="en-US" w:eastAsia="zh-CN" w:bidi="ar-SA"/>
              </w:rPr>
              <w:fldChar w:fldCharType="begin">
                <w:ffData>
                  <w:name w:val="stdType2"/>
                  <w:enabled/>
                  <w:calcOnExit w:val="0"/>
                  <w:textInput>
                    <w:maxLength w:val="7"/>
                  </w:textInput>
                </w:ffData>
              </w:fldChar>
            </w:r>
            <w:r>
              <w:rPr>
                <w:rFonts w:hint="eastAsia" w:ascii="Times New Roman" w:hAnsi="Times New Roman" w:eastAsia="宋体" w:cs="Times New Roman"/>
                <w:b/>
                <w:w w:val="130"/>
                <w:sz w:val="96"/>
                <w:szCs w:val="96"/>
                <w:lang w:val="en-US" w:eastAsia="zh-CN" w:bidi="ar-SA"/>
              </w:rPr>
              <w:instrText xml:space="preserve">FORMTEXT</w:instrText>
            </w:r>
            <w:r>
              <w:rPr>
                <w:rFonts w:hint="eastAsia" w:ascii="Times New Roman" w:hAnsi="Times New Roman" w:eastAsia="宋体" w:cs="Times New Roman"/>
                <w:b/>
                <w:w w:val="130"/>
                <w:sz w:val="96"/>
                <w:szCs w:val="96"/>
                <w:lang w:val="en-US" w:eastAsia="zh-CN" w:bidi="ar-SA"/>
              </w:rPr>
              <w:fldChar w:fldCharType="separate"/>
            </w:r>
            <w:r>
              <w:rPr>
                <w:rFonts w:hint="default" w:ascii="Times New Roman" w:hAnsi="Times New Roman" w:eastAsia="宋体" w:cs="Times New Roman"/>
                <w:b/>
                <w:w w:val="130"/>
                <w:sz w:val="96"/>
                <w:szCs w:val="96"/>
                <w:lang w:val="en-US" w:eastAsia="zh-CN" w:bidi="ar-SA"/>
              </w:rPr>
              <w:t>GXAS</w:t>
            </w:r>
            <w:r>
              <w:rPr>
                <w:rFonts w:hint="eastAsia" w:ascii="Times New Roman" w:hAnsi="Times New Roman" w:eastAsia="宋体" w:cs="Times New Roman"/>
                <w:b/>
                <w:w w:val="130"/>
                <w:sz w:val="96"/>
                <w:szCs w:val="96"/>
                <w:lang w:val="en-US" w:eastAsia="zh-CN" w:bidi="ar-SA"/>
              </w:rPr>
              <w:fldChar w:fldCharType="end"/>
            </w:r>
            <w:bookmarkEnd w:id="5"/>
          </w:p>
        </w:tc>
      </w:tr>
    </w:tbl>
    <w:p w14:paraId="2C9E3A4E">
      <w:pPr>
        <w:pStyle w:val="57"/>
        <w:rPr>
          <w:b w:val="0"/>
          <w:bCs w:val="0"/>
          <w:w w:val="100"/>
          <w:szCs w:val="48"/>
        </w:rPr>
      </w:pPr>
      <w:r>
        <w:rPr>
          <w:rFonts w:hint="eastAsia"/>
          <w:b w:val="0"/>
          <w:w w:val="100"/>
        </w:rPr>
        <w:t>团体</w:t>
      </w:r>
      <w:r>
        <w:rPr>
          <w:rFonts w:hint="eastAsia"/>
          <w:b w:val="0"/>
          <w:bCs w:val="0"/>
          <w:w w:val="100"/>
          <w:szCs w:val="48"/>
        </w:rPr>
        <w:t>标准</w:t>
      </w:r>
    </w:p>
    <w:bookmarkEnd w:id="4"/>
    <w:p w14:paraId="5666A950">
      <w:pPr>
        <w:pStyle w:val="61"/>
      </w:pPr>
      <w:r>
        <w:rPr>
          <w:rFonts w:hint="eastAsia"/>
        </w:rPr>
        <w:t>T/</w:t>
      </w:r>
      <w:bookmarkStart w:id="6" w:name="StdType"/>
      <w:r>
        <w:rPr>
          <w:rFonts w:hint="eastAsia"/>
        </w:rPr>
        <w:fldChar w:fldCharType="begin">
          <w:ffData>
            <w:name w:val="StdType"/>
            <w:enabled/>
            <w:calcOnExit w:val="0"/>
            <w:textInput>
              <w:default w:val="XXX"/>
            </w:textInput>
          </w:ffData>
        </w:fldChar>
      </w:r>
      <w:r>
        <w:rPr>
          <w:rFonts w:hint="eastAsia"/>
        </w:rPr>
        <w:instrText xml:space="preserve">FORMTEXT</w:instrText>
      </w:r>
      <w:r>
        <w:rPr>
          <w:rFonts w:hint="eastAsia"/>
        </w:rPr>
        <w:fldChar w:fldCharType="separate"/>
      </w:r>
      <w:r>
        <w:rPr>
          <w:rFonts w:hint="eastAsia"/>
        </w:rPr>
        <w:t>GXAS</w:t>
      </w:r>
      <w:r>
        <w:rPr>
          <w:rFonts w:hint="eastAsia"/>
        </w:rPr>
        <w:fldChar w:fldCharType="end"/>
      </w:r>
      <w:bookmarkEnd w:id="6"/>
      <w:r>
        <w:t xml:space="preserve"> </w:t>
      </w:r>
      <w:r>
        <w:fldChar w:fldCharType="begin">
          <w:ffData>
            <w:name w:val="StdNo_F"/>
            <w:enabled/>
            <w:calcOnExit w:val="0"/>
            <w:textInput>
              <w:default w:val="XXXX"/>
            </w:textInput>
          </w:ffData>
        </w:fldChar>
      </w:r>
      <w:bookmarkStart w:id="7" w:name="StdNo_F"/>
      <w:r>
        <w:instrText xml:space="preserve"> FORMTEXT </w:instrText>
      </w:r>
      <w:r>
        <w:fldChar w:fldCharType="separate"/>
      </w:r>
      <w:r>
        <w:rPr>
          <w:rFonts w:hint="eastAsia"/>
        </w:rPr>
        <w:t>.4</w:t>
      </w:r>
      <w:r>
        <w:fldChar w:fldCharType="end"/>
      </w:r>
      <w:bookmarkEnd w:id="7"/>
      <w:r>
        <w:rPr>
          <w:rFonts w:hAnsi="黑体"/>
        </w:rPr>
        <w:t>—</w:t>
      </w:r>
      <w:r>
        <w:fldChar w:fldCharType="begin">
          <w:ffData>
            <w:name w:val="StdNo_B"/>
            <w:enabled/>
            <w:calcOnExit w:val="0"/>
            <w:textInput>
              <w:default w:val="XXXX"/>
            </w:textInput>
          </w:ffData>
        </w:fldChar>
      </w:r>
      <w:bookmarkStart w:id="8" w:name="StdNo_B"/>
      <w:r>
        <w:instrText xml:space="preserve"> FORMTEXT </w:instrText>
      </w:r>
      <w:r>
        <w:fldChar w:fldCharType="separate"/>
      </w:r>
      <w:r>
        <w:rPr>
          <w:rFonts w:hint="eastAsia"/>
        </w:rPr>
        <w:t>     </w:t>
      </w:r>
      <w:r>
        <w:fldChar w:fldCharType="end"/>
      </w:r>
      <w:bookmarkEnd w:id="8"/>
    </w:p>
    <w:p w14:paraId="79672576">
      <w:pPr>
        <w:pStyle w:val="62"/>
        <w:rPr>
          <w:rFonts w:hAnsi="黑体"/>
        </w:rPr>
      </w:pPr>
      <w:r>
        <w:rPr>
          <w:rFonts w:hAnsi="黑体"/>
        </w:rPr>
        <w:fldChar w:fldCharType="begin">
          <w:ffData>
            <w:name w:val="StdReplaceNo"/>
            <w:enabled/>
            <w:calcOnExit w:val="0"/>
            <w:textInput/>
          </w:ffData>
        </w:fldChar>
      </w:r>
      <w:bookmarkStart w:id="9" w:name="StdReplaceNo"/>
      <w:r>
        <w:rPr>
          <w:rFonts w:hAnsi="黑体"/>
        </w:rPr>
        <w:instrText xml:space="preserve"> FORMTEXT </w:instrText>
      </w:r>
      <w:r>
        <w:rPr>
          <w:rFonts w:hAnsi="黑体"/>
        </w:rPr>
        <w:fldChar w:fldCharType="separate"/>
      </w:r>
      <w:r>
        <w:rPr>
          <w:rFonts w:hint="eastAsia" w:hAnsi="黑体"/>
        </w:rPr>
        <w:t>     </w:t>
      </w:r>
      <w:r>
        <w:rPr>
          <w:rFonts w:hAnsi="黑体"/>
        </w:rPr>
        <w:fldChar w:fldCharType="end"/>
      </w:r>
      <w:bookmarkEnd w:id="9"/>
    </w:p>
    <w:p w14:paraId="158D1B3E">
      <w:pPr>
        <w:pStyle w:val="57"/>
        <w:framePr w:h="6976" w:hRule="exact" w:hSpace="0" w:vSpace="0" w:wrap="around" w:y="6408"/>
        <w:jc w:val="center"/>
        <w:rPr>
          <w:b w:val="0"/>
          <w:bCs w:val="0"/>
          <w:w w:val="100"/>
        </w:rPr>
      </w:pPr>
    </w:p>
    <w:p w14:paraId="0735D7C9">
      <w:pPr>
        <w:pStyle w:val="63"/>
        <w:framePr w:h="6974" w:hRule="exact" w:wrap="around" w:x="1419" w:anchorLock="1"/>
      </w:pPr>
      <w:r>
        <w:fldChar w:fldCharType="begin">
          <w:ffData>
            <w:name w:val="StdName"/>
            <w:enabled/>
            <w:calcOnExit w:val="0"/>
            <w:textInput>
              <w:default w:val="点击此处添加标准名称"/>
            </w:textInput>
          </w:ffData>
        </w:fldChar>
      </w:r>
      <w:bookmarkStart w:id="10" w:name="StdName"/>
      <w:r>
        <w:instrText xml:space="preserve"> FORMTEXT </w:instrText>
      </w:r>
      <w:r>
        <w:fldChar w:fldCharType="separate"/>
      </w:r>
      <w:r>
        <w:t>生态恢复岸线认定技术规范  第4部分：砂质岸线</w:t>
      </w:r>
      <w:r>
        <w:fldChar w:fldCharType="end"/>
      </w:r>
      <w:bookmarkEnd w:id="10"/>
    </w:p>
    <w:p w14:paraId="6DE06B8D">
      <w:pPr>
        <w:framePr w:w="9639" w:h="6974" w:hRule="exact" w:wrap="around" w:vAnchor="page" w:hAnchor="page" w:x="1419" w:y="6408" w:anchorLock="1"/>
        <w:ind w:left="-1418"/>
      </w:pPr>
    </w:p>
    <w:p w14:paraId="00E7045E">
      <w:pPr>
        <w:pStyle w:val="58"/>
        <w:framePr w:h="6974" w:hRule="exact" w:wrap="around" w:x="1419"/>
        <w:textAlignment w:val="bottom"/>
      </w:pPr>
      <w:r>
        <w:fldChar w:fldCharType="begin">
          <w:ffData>
            <w:name w:val="StdEnglishName"/>
            <w:enabled/>
            <w:calcOnExit w:val="0"/>
            <w:textInput>
              <w:default w:val="点击此处添加标准名称的英文译名"/>
            </w:textInput>
          </w:ffData>
        </w:fldChar>
      </w:r>
      <w:bookmarkStart w:id="11" w:name="StdEnglishName"/>
      <w:r>
        <w:instrText xml:space="preserve"> FORMTEXT </w:instrText>
      </w:r>
      <w:r>
        <w:fldChar w:fldCharType="separate"/>
      </w:r>
      <w:r>
        <w:rPr>
          <w:rFonts w:hint="eastAsia"/>
        </w:rPr>
        <w:t>Technical Specifications for the Identification of Ecologically-restored Shoreline — Part 4: Sandy Shoreline</w:t>
      </w:r>
      <w:r>
        <w:fldChar w:fldCharType="end"/>
      </w:r>
      <w:bookmarkEnd w:id="11"/>
    </w:p>
    <w:p w14:paraId="294E8EBE">
      <w:pPr>
        <w:framePr w:w="9639" w:h="6974" w:hRule="exact" w:wrap="around" w:vAnchor="page" w:hAnchor="page" w:x="1419" w:y="6408" w:anchorLock="1"/>
        <w:spacing w:line="760" w:lineRule="exact"/>
        <w:ind w:left="-1418"/>
      </w:pPr>
    </w:p>
    <w:p w14:paraId="52D36111">
      <w:pPr>
        <w:pStyle w:val="58"/>
        <w:framePr w:h="6974" w:hRule="exact" w:wrap="around" w:x="1419"/>
        <w:pBdr>
          <w:top w:val="none" w:color="auto" w:sz="0" w:space="0"/>
          <w:left w:val="none" w:color="auto" w:sz="0" w:space="0"/>
          <w:bottom w:val="none" w:color="auto" w:sz="0" w:space="0"/>
          <w:right w:val="none" w:color="auto" w:sz="0" w:space="0"/>
        </w:pBdr>
        <w:spacing w:before="0" w:after="120"/>
        <w:textAlignment w:val="bottom"/>
      </w:pPr>
      <w:r>
        <w:fldChar w:fldCharType="begin">
          <w:ffData>
            <w:name w:val="StdIsoConincidence"/>
            <w:enabled/>
            <w:calcOnExit w:val="0"/>
            <w:textInput>
              <w:default w:val="(点击此处添加与国际标准一致性程度的标识)"/>
            </w:textInput>
          </w:ffData>
        </w:fldChar>
      </w:r>
      <w:bookmarkStart w:id="12" w:name="StdIsoConincidence"/>
      <w:r>
        <w:instrText xml:space="preserve"> FORMTEXT </w:instrText>
      </w:r>
      <w:r>
        <w:fldChar w:fldCharType="separate"/>
      </w:r>
      <w:r>
        <w:rPr>
          <w:rFonts w:hint="eastAsia"/>
        </w:rPr>
        <w:t>(点击此处添加与国际标准一致性程度的标识)</w:t>
      </w:r>
      <w:r>
        <w:fldChar w:fldCharType="end"/>
      </w:r>
      <w:bookmarkEnd w:id="12"/>
    </w:p>
    <w:p w14:paraId="3EF256BB">
      <w:pPr>
        <w:pStyle w:val="58"/>
        <w:framePr w:h="6974" w:hRule="exact" w:wrap="around" w:x="1419"/>
        <w:textAlignment w:val="bottom"/>
      </w:pPr>
    </w:p>
    <w:p w14:paraId="088C224F">
      <w:pPr>
        <w:pStyle w:val="58"/>
        <w:framePr w:h="6974" w:hRule="exact" w:wrap="around" w:x="1419"/>
        <w:spacing w:before="440" w:after="120"/>
        <w:textAlignment w:val="bottom"/>
        <w:rPr>
          <w:sz w:val="24"/>
        </w:rPr>
      </w:pPr>
      <w:r>
        <w:rPr>
          <w:sz w:val="24"/>
        </w:rPr>
        <w:fldChar w:fldCharType="begin">
          <w:ffData>
            <w:name w:val="StdState"/>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StdState"/>
      <w:r>
        <w:rPr>
          <w:sz w:val="24"/>
        </w:rPr>
        <w:instrText xml:space="preserve"> FORMDROPDOWN </w:instrText>
      </w:r>
      <w:r>
        <w:rPr>
          <w:sz w:val="24"/>
        </w:rPr>
        <w:fldChar w:fldCharType="separate"/>
      </w:r>
      <w:r>
        <w:rPr>
          <w:sz w:val="24"/>
        </w:rPr>
        <w:fldChar w:fldCharType="end"/>
      </w:r>
      <w:bookmarkEnd w:id="13"/>
    </w:p>
    <w:p w14:paraId="0673D920">
      <w:pPr>
        <w:pStyle w:val="58"/>
        <w:keepNext w:val="0"/>
        <w:keepLines w:val="0"/>
        <w:pageBreakBefore w:val="0"/>
        <w:framePr w:h="6974" w:hRule="exact" w:wrap="around" w:x="1419"/>
        <w:widowControl w:val="0"/>
        <w:kinsoku/>
        <w:wordWrap/>
        <w:overflowPunct/>
        <w:topLinePunct w:val="0"/>
        <w:autoSpaceDE/>
        <w:autoSpaceDN/>
        <w:bidi w:val="0"/>
        <w:adjustRightInd/>
        <w:snapToGrid/>
        <w:spacing w:before="180" w:line="240" w:lineRule="exact"/>
        <w:textAlignment w:val="bottom"/>
        <w:rPr>
          <w:sz w:val="24"/>
        </w:rPr>
      </w:pPr>
      <w:r>
        <w:rPr>
          <w:sz w:val="21"/>
          <w:szCs w:val="21"/>
        </w:rPr>
        <w:fldChar w:fldCharType="begin">
          <w:ffData>
            <w:name w:val="CMPLSH_DATE"/>
            <w:enabled/>
            <w:calcOnExit w:val="0"/>
            <w:textInput/>
          </w:ffData>
        </w:fldChar>
      </w:r>
      <w:bookmarkStart w:id="14" w:name="CMPLSH_DATE"/>
      <w:r>
        <w:rPr>
          <w:sz w:val="21"/>
          <w:szCs w:val="21"/>
        </w:rPr>
        <w:instrText xml:space="preserve"> FORMTEXT </w:instrText>
      </w:r>
      <w:r>
        <w:rPr>
          <w:sz w:val="21"/>
          <w:szCs w:val="21"/>
        </w:rPr>
        <w:fldChar w:fldCharType="separate"/>
      </w:r>
      <w:r>
        <w:rPr>
          <w:sz w:val="21"/>
          <w:szCs w:val="21"/>
        </w:rPr>
        <w:t>     </w:t>
      </w:r>
      <w:r>
        <w:rPr>
          <w:sz w:val="21"/>
          <w:szCs w:val="21"/>
        </w:rPr>
        <w:fldChar w:fldCharType="end"/>
      </w:r>
      <w:bookmarkEnd w:id="14"/>
    </w:p>
    <w:p w14:paraId="62D32BF5">
      <w:pPr>
        <w:pStyle w:val="58"/>
        <w:keepNext w:val="0"/>
        <w:keepLines w:val="0"/>
        <w:pageBreakBefore w:val="0"/>
        <w:framePr w:h="6974" w:hRule="exact" w:wrap="around" w:x="1419"/>
        <w:widowControl w:val="0"/>
        <w:kinsoku/>
        <w:wordWrap/>
        <w:overflowPunct/>
        <w:topLinePunct w:val="0"/>
        <w:autoSpaceDE/>
        <w:autoSpaceDN/>
        <w:bidi w:val="0"/>
        <w:adjustRightInd/>
        <w:snapToGrid/>
        <w:spacing w:before="979" w:beforeLines="300" w:after="99" w:afterLines="30" w:line="240" w:lineRule="auto"/>
        <w:textAlignment w:val="bottom"/>
        <w:rPr>
          <w:b/>
          <w:bCs/>
          <w:sz w:val="21"/>
          <w:szCs w:val="21"/>
        </w:rPr>
      </w:pPr>
      <w:r>
        <w:rPr>
          <w:b/>
          <w:bCs/>
          <w:sz w:val="21"/>
          <w:szCs w:val="21"/>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Pr>
          <w:b/>
          <w:bCs/>
          <w:sz w:val="21"/>
          <w:szCs w:val="21"/>
        </w:rPr>
        <w:instrText xml:space="preserve"> FORMDROPDOWN </w:instrText>
      </w:r>
      <w:r>
        <w:rPr>
          <w:b/>
          <w:bCs/>
          <w:sz w:val="21"/>
          <w:szCs w:val="21"/>
        </w:rPr>
        <w:fldChar w:fldCharType="separate"/>
      </w:r>
      <w:r>
        <w:rPr>
          <w:b/>
          <w:bCs/>
          <w:sz w:val="21"/>
          <w:szCs w:val="21"/>
        </w:rPr>
        <w:fldChar w:fldCharType="end"/>
      </w:r>
      <w:bookmarkEnd w:id="15"/>
    </w:p>
    <w:p w14:paraId="4640376A">
      <w:pPr>
        <w:pStyle w:val="58"/>
        <w:framePr w:h="6974" w:hRule="exact" w:wrap="around" w:x="1419"/>
        <w:spacing w:before="978" w:beforeLines="300" w:after="97" w:afterLines="30" w:line="240" w:lineRule="auto"/>
        <w:textAlignment w:val="bottom"/>
        <w:rPr>
          <w:b/>
          <w:sz w:val="21"/>
        </w:rPr>
      </w:pPr>
    </w:p>
    <w:p w14:paraId="142408EF">
      <w:pPr>
        <w:pStyle w:val="59"/>
        <w:framePr w:wrap="around" w:hAnchor="page" w:x="1396" w:y="14116"/>
      </w:pPr>
      <w:bookmarkStart w:id="16" w:name="StdIssueDate"/>
      <w:r>
        <w:rPr>
          <w:rFonts w:hint="eastAsia" w:ascii="黑体" w:hAnsi="黑体" w:cs="黑体"/>
        </w:rPr>
        <w:fldChar w:fldCharType="begin">
          <w:ffData>
            <w:name w:val="StdIssue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hint="eastAsia" w:ascii="黑体" w:hAnsi="黑体" w:cs="黑体"/>
        </w:rPr>
        <w:t>     </w:t>
      </w:r>
      <w:r>
        <w:rPr>
          <w:rFonts w:hint="eastAsia" w:ascii="黑体" w:hAnsi="黑体" w:cs="黑体"/>
        </w:rPr>
        <w:fldChar w:fldCharType="end"/>
      </w:r>
      <w:bookmarkEnd w:id="16"/>
      <w:r>
        <w:pict>
          <v:line id="直接连接符 5" o:spid="_x0000_s1035" o:spt="20" style="position:absolute;left:0pt;margin-left:70.85pt;margin-top:728.6pt;height:0pt;width:481.9pt;mso-position-horizontal-relative:page;mso-position-vertical-relative:page;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r>
        <w:rPr>
          <w:rFonts w:hint="eastAsia"/>
        </w:rPr>
        <w:t>发布</w:t>
      </w:r>
    </w:p>
    <w:p w14:paraId="69B1F80F">
      <w:pPr>
        <w:pStyle w:val="60"/>
        <w:framePr w:wrap="around" w:hAnchor="page" w:x="7081" w:y="14116"/>
      </w:pPr>
      <w:bookmarkStart w:id="17" w:name="StdApplyDate"/>
      <w:r>
        <w:rPr>
          <w:rFonts w:hint="eastAsia" w:ascii="黑体" w:hAnsi="黑体" w:cs="黑体"/>
        </w:rPr>
        <w:fldChar w:fldCharType="begin">
          <w:ffData>
            <w:name w:val="StdApply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hint="eastAsia" w:ascii="黑体" w:hAnsi="黑体" w:cs="黑体"/>
        </w:rPr>
        <w:t>     </w:t>
      </w:r>
      <w:r>
        <w:rPr>
          <w:rFonts w:hint="eastAsia" w:ascii="黑体" w:hAnsi="黑体" w:cs="黑体"/>
        </w:rPr>
        <w:fldChar w:fldCharType="end"/>
      </w:r>
      <w:bookmarkEnd w:id="17"/>
      <w:r>
        <w:rPr>
          <w:rFonts w:hint="eastAsia"/>
        </w:rPr>
        <w:t>实施</w:t>
      </w:r>
    </w:p>
    <w:p w14:paraId="3A858006">
      <w:pPr>
        <w:pStyle w:val="65"/>
        <w:framePr w:w="7432" w:h="584" w:hRule="exact" w:hSpace="181" w:vSpace="181" w:wrap="around" w:vAnchor="page" w:hAnchor="page" w:y="14798"/>
        <w:rPr>
          <w:rFonts w:hAnsi="黑体"/>
        </w:rPr>
      </w:pPr>
      <w:r>
        <w:rPr>
          <w:rFonts w:hAnsi="黑体"/>
          <w:w w:val="100"/>
          <w:sz w:val="28"/>
        </w:rPr>
        <w:fldChar w:fldCharType="begin">
          <w:ffData>
            <w:name w:val="StdApprovedep"/>
            <w:enabled/>
            <w:calcOnExit w:val="0"/>
            <w:textInput/>
          </w:ffData>
        </w:fldChar>
      </w:r>
      <w:bookmarkStart w:id="18" w:name="StdApprovedep"/>
      <w:r>
        <w:rPr>
          <w:rFonts w:hAnsi="黑体"/>
          <w:w w:val="100"/>
          <w:sz w:val="28"/>
        </w:rPr>
        <w:instrText xml:space="preserve"> FORMTEXT </w:instrText>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66"/>
          <w:rFonts w:hint="eastAsia" w:hAnsi="黑体"/>
        </w:rPr>
        <w:t>发布</w:t>
      </w:r>
    </w:p>
    <w:p w14:paraId="0BB6C354">
      <w:r>
        <mc:AlternateContent>
          <mc:Choice Requires="wps">
            <w:drawing>
              <wp:anchor distT="0" distB="0" distL="114300" distR="114300" simplePos="0" relativeHeight="251660288" behindDoc="0" locked="0" layoutInCell="1" allowOverlap="0">
                <wp:simplePos x="0" y="0"/>
                <wp:positionH relativeFrom="page">
                  <wp:posOffset>899795</wp:posOffset>
                </wp:positionH>
                <wp:positionV relativeFrom="page">
                  <wp:posOffset>2700020</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qY&#10;yf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0CC74DAB">
      <w:pPr>
        <w:sectPr>
          <w:type w:val="oddPage"/>
          <w:pgSz w:w="11906" w:h="16838"/>
          <w:pgMar w:top="567" w:right="1134" w:bottom="1134" w:left="1134" w:header="851" w:footer="992" w:gutter="0"/>
          <w:pgNumType w:start="1"/>
          <w:cols w:space="425" w:num="1"/>
          <w:docGrid w:type="lines" w:linePitch="326" w:charSpace="0"/>
        </w:sectPr>
      </w:pPr>
    </w:p>
    <w:bookmarkEnd w:id="0"/>
    <w:p w14:paraId="070C2926">
      <w:pPr>
        <w:pStyle w:val="109"/>
        <w:bidi w:val="0"/>
        <w:rPr>
          <w:rFonts w:hint="eastAsia"/>
          <w:lang w:eastAsia="zh-CN"/>
        </w:rPr>
      </w:pPr>
      <w:bookmarkStart w:id="19" w:name="mbookmark30"/>
      <w:r>
        <w:rPr>
          <w:rFonts w:hint="eastAsia"/>
          <w:spacing w:val="318"/>
          <w:lang w:eastAsia="zh-CN"/>
        </w:rPr>
        <w:t>目</w:t>
      </w:r>
      <w:r>
        <w:rPr>
          <w:rFonts w:hint="eastAsia"/>
          <w:lang w:eastAsia="zh-CN"/>
        </w:rPr>
        <w:t>次</w:t>
      </w:r>
    </w:p>
    <w:p w14:paraId="7F8B6F06">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TOC \o "1-2" \h \u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_Toc15026 </w:instrText>
      </w:r>
      <w:r>
        <w:rPr>
          <w:rFonts w:hint="eastAsia" w:ascii="宋体" w:hAnsi="宋体" w:eastAsia="宋体" w:cs="宋体"/>
          <w:spacing w:val="0"/>
          <w:lang w:eastAsia="zh-CN"/>
        </w:rPr>
        <w:fldChar w:fldCharType="separate"/>
      </w:r>
      <w:r>
        <w:rPr>
          <w:rFonts w:hint="eastAsia"/>
          <w:spacing w:val="318"/>
          <w:lang w:eastAsia="zh-CN"/>
        </w:rPr>
        <w:t>前</w:t>
      </w:r>
      <w:r>
        <w:rPr>
          <w:rFonts w:hint="eastAsia"/>
          <w:lang w:eastAsia="zh-CN"/>
        </w:rPr>
        <w:t>言</w:t>
      </w:r>
      <w:r>
        <w:tab/>
      </w:r>
      <w:r>
        <w:fldChar w:fldCharType="begin"/>
      </w:r>
      <w:r>
        <w:instrText xml:space="preserve"> PAGEREF _Toc15026 \h </w:instrText>
      </w:r>
      <w:r>
        <w:fldChar w:fldCharType="separate"/>
      </w:r>
      <w:r>
        <w:t>II</w:t>
      </w:r>
      <w:r>
        <w:fldChar w:fldCharType="end"/>
      </w:r>
      <w:r>
        <w:rPr>
          <w:rFonts w:hint="eastAsia" w:ascii="宋体" w:hAnsi="宋体" w:eastAsia="宋体" w:cs="宋体"/>
          <w:spacing w:val="0"/>
          <w:lang w:eastAsia="zh-CN"/>
        </w:rPr>
        <w:fldChar w:fldCharType="end"/>
      </w:r>
    </w:p>
    <w:p w14:paraId="1D33B6BA">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_Toc2126 </w:instrText>
      </w:r>
      <w:r>
        <w:rPr>
          <w:rFonts w:hint="eastAsia" w:ascii="宋体" w:hAnsi="宋体" w:eastAsia="宋体" w:cs="宋体"/>
          <w:spacing w:val="0"/>
          <w:lang w:eastAsia="zh-CN"/>
        </w:rPr>
        <w:fldChar w:fldCharType="separate"/>
      </w:r>
      <w:r>
        <w:rPr>
          <w:rFonts w:hint="eastAsia"/>
          <w:spacing w:val="318"/>
          <w:lang w:eastAsia="zh-CN"/>
        </w:rPr>
        <w:t>引</w:t>
      </w:r>
      <w:r>
        <w:rPr>
          <w:rFonts w:hint="eastAsia"/>
          <w:lang w:eastAsia="zh-CN"/>
        </w:rPr>
        <w:t>言</w:t>
      </w:r>
      <w:r>
        <w:tab/>
      </w:r>
      <w:r>
        <w:fldChar w:fldCharType="begin"/>
      </w:r>
      <w:r>
        <w:instrText xml:space="preserve"> PAGEREF _Toc2126 \h </w:instrText>
      </w:r>
      <w:r>
        <w:fldChar w:fldCharType="separate"/>
      </w:r>
      <w:r>
        <w:t>3</w:t>
      </w:r>
      <w:r>
        <w:fldChar w:fldCharType="end"/>
      </w:r>
      <w:r>
        <w:rPr>
          <w:rFonts w:hint="eastAsia" w:ascii="宋体" w:hAnsi="宋体" w:eastAsia="宋体" w:cs="宋体"/>
          <w:spacing w:val="0"/>
          <w:lang w:eastAsia="zh-CN"/>
        </w:rPr>
        <w:fldChar w:fldCharType="end"/>
      </w:r>
    </w:p>
    <w:p w14:paraId="05AC854E">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_Toc14418 </w:instrText>
      </w:r>
      <w:r>
        <w:rPr>
          <w:rFonts w:hint="eastAsia" w:ascii="宋体" w:hAnsi="宋体" w:eastAsia="宋体" w:cs="宋体"/>
          <w:spacing w:val="0"/>
          <w:lang w:eastAsia="zh-CN"/>
        </w:rPr>
        <w:fldChar w:fldCharType="separate"/>
      </w:r>
      <w:r>
        <w:rPr>
          <w:rFonts w:hint="default" w:ascii="黑体" w:eastAsia="黑体"/>
          <w:i w:val="0"/>
        </w:rPr>
        <w:t xml:space="preserve">1 </w:t>
      </w:r>
      <w:r>
        <w:rPr>
          <w:rFonts w:hint="eastAsia"/>
        </w:rPr>
        <w:t>范围</w:t>
      </w:r>
      <w:r>
        <w:tab/>
      </w:r>
      <w:r>
        <w:fldChar w:fldCharType="begin"/>
      </w:r>
      <w:r>
        <w:instrText xml:space="preserve"> PAGEREF _Toc14418 \h </w:instrText>
      </w:r>
      <w:r>
        <w:fldChar w:fldCharType="separate"/>
      </w:r>
      <w:r>
        <w:t>1</w:t>
      </w:r>
      <w:r>
        <w:fldChar w:fldCharType="end"/>
      </w:r>
      <w:r>
        <w:rPr>
          <w:rFonts w:hint="eastAsia" w:ascii="宋体" w:hAnsi="宋体" w:eastAsia="宋体" w:cs="宋体"/>
          <w:spacing w:val="0"/>
          <w:lang w:eastAsia="zh-CN"/>
        </w:rPr>
        <w:fldChar w:fldCharType="end"/>
      </w:r>
    </w:p>
    <w:p w14:paraId="4883CDC8">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_Toc23150 </w:instrText>
      </w:r>
      <w:r>
        <w:rPr>
          <w:rFonts w:hint="eastAsia" w:ascii="宋体" w:hAnsi="宋体" w:eastAsia="宋体" w:cs="宋体"/>
          <w:spacing w:val="0"/>
          <w:lang w:eastAsia="zh-CN"/>
        </w:rPr>
        <w:fldChar w:fldCharType="separate"/>
      </w:r>
      <w:r>
        <w:rPr>
          <w:rFonts w:hint="default" w:ascii="黑体" w:eastAsia="黑体"/>
          <w:i w:val="0"/>
        </w:rPr>
        <w:t xml:space="preserve">2 </w:t>
      </w:r>
      <w:r>
        <w:rPr>
          <w:rFonts w:hint="eastAsia"/>
        </w:rPr>
        <w:t>规范性引用文件</w:t>
      </w:r>
      <w:r>
        <w:tab/>
      </w:r>
      <w:r>
        <w:fldChar w:fldCharType="begin"/>
      </w:r>
      <w:r>
        <w:instrText xml:space="preserve"> PAGEREF _Toc23150 \h </w:instrText>
      </w:r>
      <w:r>
        <w:fldChar w:fldCharType="separate"/>
      </w:r>
      <w:r>
        <w:t>1</w:t>
      </w:r>
      <w:r>
        <w:fldChar w:fldCharType="end"/>
      </w:r>
      <w:r>
        <w:rPr>
          <w:rFonts w:hint="eastAsia" w:ascii="宋体" w:hAnsi="宋体" w:eastAsia="宋体" w:cs="宋体"/>
          <w:spacing w:val="0"/>
          <w:lang w:eastAsia="zh-CN"/>
        </w:rPr>
        <w:fldChar w:fldCharType="end"/>
      </w:r>
    </w:p>
    <w:p w14:paraId="7FB1A552">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_Toc10126 </w:instrText>
      </w:r>
      <w:r>
        <w:rPr>
          <w:rFonts w:hint="eastAsia" w:ascii="宋体" w:hAnsi="宋体" w:eastAsia="宋体" w:cs="宋体"/>
          <w:spacing w:val="0"/>
          <w:lang w:eastAsia="zh-CN"/>
        </w:rPr>
        <w:fldChar w:fldCharType="separate"/>
      </w:r>
      <w:r>
        <w:rPr>
          <w:rFonts w:hint="default" w:ascii="黑体" w:eastAsia="黑体"/>
          <w:i w:val="0"/>
        </w:rPr>
        <w:t xml:space="preserve">3 </w:t>
      </w:r>
      <w:r>
        <w:rPr>
          <w:rFonts w:hint="eastAsia"/>
          <w:highlight w:val="none"/>
        </w:rPr>
        <w:t>术语和定义</w:t>
      </w:r>
      <w:r>
        <w:tab/>
      </w:r>
      <w:r>
        <w:fldChar w:fldCharType="begin"/>
      </w:r>
      <w:r>
        <w:instrText xml:space="preserve"> PAGEREF _Toc10126 \h </w:instrText>
      </w:r>
      <w:r>
        <w:fldChar w:fldCharType="separate"/>
      </w:r>
      <w:r>
        <w:t>1</w:t>
      </w:r>
      <w:r>
        <w:fldChar w:fldCharType="end"/>
      </w:r>
      <w:r>
        <w:rPr>
          <w:rFonts w:hint="eastAsia" w:ascii="宋体" w:hAnsi="宋体" w:eastAsia="宋体" w:cs="宋体"/>
          <w:spacing w:val="0"/>
          <w:lang w:eastAsia="zh-CN"/>
        </w:rPr>
        <w:fldChar w:fldCharType="end"/>
      </w:r>
    </w:p>
    <w:p w14:paraId="3AEEFAD0">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_Toc2055 </w:instrText>
      </w:r>
      <w:r>
        <w:rPr>
          <w:rFonts w:hint="eastAsia" w:ascii="宋体" w:hAnsi="宋体" w:eastAsia="宋体" w:cs="宋体"/>
          <w:spacing w:val="0"/>
          <w:lang w:eastAsia="zh-CN"/>
        </w:rPr>
        <w:fldChar w:fldCharType="separate"/>
      </w:r>
      <w:r>
        <w:rPr>
          <w:rFonts w:hint="default" w:ascii="黑体" w:eastAsia="黑体"/>
          <w:i w:val="0"/>
        </w:rPr>
        <w:t xml:space="preserve">4 </w:t>
      </w:r>
      <w:r>
        <w:rPr>
          <w:rFonts w:hint="eastAsia"/>
          <w:highlight w:val="none"/>
        </w:rPr>
        <w:t>认定工作程序</w:t>
      </w:r>
      <w:r>
        <w:tab/>
      </w:r>
      <w:r>
        <w:fldChar w:fldCharType="begin"/>
      </w:r>
      <w:r>
        <w:instrText xml:space="preserve"> PAGEREF _Toc2055 \h </w:instrText>
      </w:r>
      <w:r>
        <w:fldChar w:fldCharType="separate"/>
      </w:r>
      <w:r>
        <w:t>1</w:t>
      </w:r>
      <w:r>
        <w:fldChar w:fldCharType="end"/>
      </w:r>
      <w:r>
        <w:rPr>
          <w:rFonts w:hint="eastAsia" w:ascii="宋体" w:hAnsi="宋体" w:eastAsia="宋体" w:cs="宋体"/>
          <w:spacing w:val="0"/>
          <w:lang w:eastAsia="zh-CN"/>
        </w:rPr>
        <w:fldChar w:fldCharType="end"/>
      </w:r>
    </w:p>
    <w:p w14:paraId="2077AEB8">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_Toc10372 </w:instrText>
      </w:r>
      <w:r>
        <w:rPr>
          <w:rFonts w:hint="eastAsia" w:ascii="宋体" w:hAnsi="宋体" w:eastAsia="宋体" w:cs="宋体"/>
          <w:spacing w:val="0"/>
          <w:lang w:eastAsia="zh-CN"/>
        </w:rPr>
        <w:fldChar w:fldCharType="separate"/>
      </w:r>
      <w:r>
        <w:rPr>
          <w:rFonts w:hint="default" w:ascii="黑体" w:eastAsia="黑体"/>
          <w:i w:val="0"/>
        </w:rPr>
        <w:t xml:space="preserve">5 </w:t>
      </w:r>
      <w:r>
        <w:rPr>
          <w:rFonts w:hint="eastAsia"/>
          <w:highlight w:val="none"/>
        </w:rPr>
        <w:t>认定评判标准</w:t>
      </w:r>
      <w:r>
        <w:tab/>
      </w:r>
      <w:r>
        <w:fldChar w:fldCharType="begin"/>
      </w:r>
      <w:r>
        <w:instrText xml:space="preserve"> PAGEREF _Toc10372 \h </w:instrText>
      </w:r>
      <w:r>
        <w:fldChar w:fldCharType="separate"/>
      </w:r>
      <w:r>
        <w:t>1</w:t>
      </w:r>
      <w:r>
        <w:fldChar w:fldCharType="end"/>
      </w:r>
      <w:r>
        <w:rPr>
          <w:rFonts w:hint="eastAsia" w:ascii="宋体" w:hAnsi="宋体" w:eastAsia="宋体" w:cs="宋体"/>
          <w:spacing w:val="0"/>
          <w:lang w:eastAsia="zh-CN"/>
        </w:rPr>
        <w:fldChar w:fldCharType="end"/>
      </w:r>
    </w:p>
    <w:p w14:paraId="3C5931CF">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_Toc29952 </w:instrText>
      </w:r>
      <w:r>
        <w:rPr>
          <w:rFonts w:hint="eastAsia" w:ascii="宋体" w:hAnsi="宋体" w:eastAsia="宋体" w:cs="宋体"/>
          <w:spacing w:val="0"/>
          <w:lang w:eastAsia="zh-CN"/>
        </w:rPr>
        <w:fldChar w:fldCharType="separate"/>
      </w:r>
      <w:r>
        <w:rPr>
          <w:rFonts w:hint="default" w:ascii="黑体" w:eastAsia="黑体"/>
          <w:i w:val="0"/>
        </w:rPr>
        <w:t xml:space="preserve">5.1 </w:t>
      </w:r>
      <w:r>
        <w:rPr>
          <w:rFonts w:hint="eastAsia"/>
          <w:highlight w:val="none"/>
        </w:rPr>
        <w:t>岸线形态恢复有效性</w:t>
      </w:r>
      <w:r>
        <w:tab/>
      </w:r>
      <w:r>
        <w:fldChar w:fldCharType="begin"/>
      </w:r>
      <w:r>
        <w:instrText xml:space="preserve"> PAGEREF _Toc29952 \h </w:instrText>
      </w:r>
      <w:r>
        <w:fldChar w:fldCharType="separate"/>
      </w:r>
      <w:r>
        <w:t>1</w:t>
      </w:r>
      <w:r>
        <w:fldChar w:fldCharType="end"/>
      </w:r>
      <w:r>
        <w:rPr>
          <w:rFonts w:hint="eastAsia" w:ascii="宋体" w:hAnsi="宋体" w:eastAsia="宋体" w:cs="宋体"/>
          <w:spacing w:val="0"/>
          <w:lang w:eastAsia="zh-CN"/>
        </w:rPr>
        <w:fldChar w:fldCharType="end"/>
      </w:r>
    </w:p>
    <w:p w14:paraId="2A8B008E">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_Toc27296 </w:instrText>
      </w:r>
      <w:r>
        <w:rPr>
          <w:rFonts w:hint="eastAsia" w:ascii="宋体" w:hAnsi="宋体" w:eastAsia="宋体" w:cs="宋体"/>
          <w:spacing w:val="0"/>
          <w:lang w:eastAsia="zh-CN"/>
        </w:rPr>
        <w:fldChar w:fldCharType="separate"/>
      </w:r>
      <w:r>
        <w:rPr>
          <w:rFonts w:hint="default" w:ascii="黑体" w:eastAsia="黑体"/>
          <w:i w:val="0"/>
        </w:rPr>
        <w:t xml:space="preserve">5.2 </w:t>
      </w:r>
      <w:r>
        <w:rPr>
          <w:rFonts w:hint="eastAsia"/>
          <w:highlight w:val="none"/>
        </w:rPr>
        <w:t>修复措施执行符合性</w:t>
      </w:r>
      <w:r>
        <w:tab/>
      </w:r>
      <w:r>
        <w:fldChar w:fldCharType="begin"/>
      </w:r>
      <w:r>
        <w:instrText xml:space="preserve"> PAGEREF _Toc27296 \h </w:instrText>
      </w:r>
      <w:r>
        <w:fldChar w:fldCharType="separate"/>
      </w:r>
      <w:r>
        <w:t>2</w:t>
      </w:r>
      <w:r>
        <w:fldChar w:fldCharType="end"/>
      </w:r>
      <w:r>
        <w:rPr>
          <w:rFonts w:hint="eastAsia" w:ascii="宋体" w:hAnsi="宋体" w:eastAsia="宋体" w:cs="宋体"/>
          <w:spacing w:val="0"/>
          <w:lang w:eastAsia="zh-CN"/>
        </w:rPr>
        <w:fldChar w:fldCharType="end"/>
      </w:r>
    </w:p>
    <w:p w14:paraId="039849AD">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_Toc2489 </w:instrText>
      </w:r>
      <w:r>
        <w:rPr>
          <w:rFonts w:hint="eastAsia" w:ascii="宋体" w:hAnsi="宋体" w:eastAsia="宋体" w:cs="宋体"/>
          <w:spacing w:val="0"/>
          <w:lang w:eastAsia="zh-CN"/>
        </w:rPr>
        <w:fldChar w:fldCharType="separate"/>
      </w:r>
      <w:r>
        <w:rPr>
          <w:rFonts w:hint="default" w:ascii="黑体" w:eastAsia="黑体"/>
          <w:i w:val="0"/>
        </w:rPr>
        <w:t xml:space="preserve">5.3 </w:t>
      </w:r>
      <w:r>
        <w:rPr>
          <w:rFonts w:hint="eastAsia"/>
        </w:rPr>
        <w:t>潮间带发育完整程度</w:t>
      </w:r>
      <w:r>
        <w:tab/>
      </w:r>
      <w:r>
        <w:fldChar w:fldCharType="begin"/>
      </w:r>
      <w:r>
        <w:instrText xml:space="preserve"> PAGEREF _Toc2489 \h </w:instrText>
      </w:r>
      <w:r>
        <w:fldChar w:fldCharType="separate"/>
      </w:r>
      <w:r>
        <w:t>2</w:t>
      </w:r>
      <w:r>
        <w:fldChar w:fldCharType="end"/>
      </w:r>
      <w:r>
        <w:rPr>
          <w:rFonts w:hint="eastAsia" w:ascii="宋体" w:hAnsi="宋体" w:eastAsia="宋体" w:cs="宋体"/>
          <w:spacing w:val="0"/>
          <w:lang w:eastAsia="zh-CN"/>
        </w:rPr>
        <w:fldChar w:fldCharType="end"/>
      </w:r>
    </w:p>
    <w:p w14:paraId="33804073">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_Toc14579 </w:instrText>
      </w:r>
      <w:r>
        <w:rPr>
          <w:rFonts w:hint="eastAsia" w:ascii="宋体" w:hAnsi="宋体" w:eastAsia="宋体" w:cs="宋体"/>
          <w:spacing w:val="0"/>
          <w:lang w:eastAsia="zh-CN"/>
        </w:rPr>
        <w:fldChar w:fldCharType="separate"/>
      </w:r>
      <w:r>
        <w:rPr>
          <w:rFonts w:hint="default" w:ascii="黑体" w:eastAsia="黑体"/>
          <w:i w:val="0"/>
        </w:rPr>
        <w:t xml:space="preserve">5.4 </w:t>
      </w:r>
      <w:r>
        <w:rPr>
          <w:rFonts w:hint="eastAsia"/>
          <w:highlight w:val="none"/>
        </w:rPr>
        <w:t>潮间带平均宽度要求</w:t>
      </w:r>
      <w:r>
        <w:tab/>
      </w:r>
      <w:r>
        <w:fldChar w:fldCharType="begin"/>
      </w:r>
      <w:r>
        <w:instrText xml:space="preserve"> PAGEREF _Toc14579 \h </w:instrText>
      </w:r>
      <w:r>
        <w:fldChar w:fldCharType="separate"/>
      </w:r>
      <w:r>
        <w:t>2</w:t>
      </w:r>
      <w:r>
        <w:fldChar w:fldCharType="end"/>
      </w:r>
      <w:r>
        <w:rPr>
          <w:rFonts w:hint="eastAsia" w:ascii="宋体" w:hAnsi="宋体" w:eastAsia="宋体" w:cs="宋体"/>
          <w:spacing w:val="0"/>
          <w:lang w:eastAsia="zh-CN"/>
        </w:rPr>
        <w:fldChar w:fldCharType="end"/>
      </w:r>
    </w:p>
    <w:p w14:paraId="2C4F1567">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_Toc8289 </w:instrText>
      </w:r>
      <w:r>
        <w:rPr>
          <w:rFonts w:hint="eastAsia" w:ascii="宋体" w:hAnsi="宋体" w:eastAsia="宋体" w:cs="宋体"/>
          <w:spacing w:val="0"/>
          <w:lang w:eastAsia="zh-CN"/>
        </w:rPr>
        <w:fldChar w:fldCharType="separate"/>
      </w:r>
      <w:r>
        <w:rPr>
          <w:rFonts w:hint="default" w:ascii="黑体" w:eastAsia="黑体"/>
          <w:i w:val="0"/>
          <w:lang w:val="en-US"/>
        </w:rPr>
        <w:t xml:space="preserve">5.5 </w:t>
      </w:r>
      <w:r>
        <w:rPr>
          <w:rFonts w:hint="eastAsia"/>
          <w:highlight w:val="none"/>
        </w:rPr>
        <w:t>潮间带</w:t>
      </w:r>
      <w:r>
        <w:rPr>
          <w:rFonts w:hint="eastAsia"/>
          <w:highlight w:val="none"/>
          <w:lang w:val="en-US" w:eastAsia="zh-CN"/>
        </w:rPr>
        <w:t>岸滩稳定状况</w:t>
      </w:r>
      <w:r>
        <w:tab/>
      </w:r>
      <w:r>
        <w:fldChar w:fldCharType="begin"/>
      </w:r>
      <w:r>
        <w:instrText xml:space="preserve"> PAGEREF _Toc8289 \h </w:instrText>
      </w:r>
      <w:r>
        <w:fldChar w:fldCharType="separate"/>
      </w:r>
      <w:r>
        <w:t>2</w:t>
      </w:r>
      <w:r>
        <w:fldChar w:fldCharType="end"/>
      </w:r>
      <w:r>
        <w:rPr>
          <w:rFonts w:hint="eastAsia" w:ascii="宋体" w:hAnsi="宋体" w:eastAsia="宋体" w:cs="宋体"/>
          <w:spacing w:val="0"/>
          <w:lang w:eastAsia="zh-CN"/>
        </w:rPr>
        <w:fldChar w:fldCharType="end"/>
      </w:r>
    </w:p>
    <w:p w14:paraId="60358831">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_Toc31413 </w:instrText>
      </w:r>
      <w:r>
        <w:rPr>
          <w:rFonts w:hint="eastAsia" w:ascii="宋体" w:hAnsi="宋体" w:eastAsia="宋体" w:cs="宋体"/>
          <w:spacing w:val="0"/>
          <w:lang w:eastAsia="zh-CN"/>
        </w:rPr>
        <w:fldChar w:fldCharType="separate"/>
      </w:r>
      <w:r>
        <w:rPr>
          <w:rFonts w:hint="default" w:ascii="黑体" w:eastAsia="黑体"/>
          <w:i w:val="0"/>
        </w:rPr>
        <w:t xml:space="preserve">5.6 </w:t>
      </w:r>
      <w:r>
        <w:rPr>
          <w:rFonts w:hint="eastAsia"/>
          <w:highlight w:val="none"/>
        </w:rPr>
        <w:t>潮间带</w:t>
      </w:r>
      <w:r>
        <w:rPr>
          <w:rFonts w:hint="eastAsia"/>
          <w:highlight w:val="none"/>
          <w:lang w:val="en-US" w:eastAsia="zh-CN"/>
        </w:rPr>
        <w:t>滩面砂质情况</w:t>
      </w:r>
      <w:r>
        <w:tab/>
      </w:r>
      <w:r>
        <w:fldChar w:fldCharType="begin"/>
      </w:r>
      <w:r>
        <w:instrText xml:space="preserve"> PAGEREF _Toc31413 \h </w:instrText>
      </w:r>
      <w:r>
        <w:fldChar w:fldCharType="separate"/>
      </w:r>
      <w:r>
        <w:t>2</w:t>
      </w:r>
      <w:r>
        <w:fldChar w:fldCharType="end"/>
      </w:r>
      <w:r>
        <w:rPr>
          <w:rFonts w:hint="eastAsia" w:ascii="宋体" w:hAnsi="宋体" w:eastAsia="宋体" w:cs="宋体"/>
          <w:spacing w:val="0"/>
          <w:lang w:eastAsia="zh-CN"/>
        </w:rPr>
        <w:fldChar w:fldCharType="end"/>
      </w:r>
    </w:p>
    <w:p w14:paraId="6C56FD6B">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_Toc10766 </w:instrText>
      </w:r>
      <w:r>
        <w:rPr>
          <w:rFonts w:hint="eastAsia" w:ascii="宋体" w:hAnsi="宋体" w:eastAsia="宋体" w:cs="宋体"/>
          <w:spacing w:val="0"/>
          <w:lang w:eastAsia="zh-CN"/>
        </w:rPr>
        <w:fldChar w:fldCharType="separate"/>
      </w:r>
      <w:r>
        <w:rPr>
          <w:rFonts w:hint="default" w:ascii="黑体" w:eastAsia="黑体"/>
          <w:i w:val="0"/>
        </w:rPr>
        <w:t xml:space="preserve">6 </w:t>
      </w:r>
      <w:r>
        <w:rPr>
          <w:rFonts w:hint="eastAsia"/>
          <w:highlight w:val="none"/>
        </w:rPr>
        <w:t>技术方案制定</w:t>
      </w:r>
      <w:r>
        <w:tab/>
      </w:r>
      <w:r>
        <w:fldChar w:fldCharType="begin"/>
      </w:r>
      <w:r>
        <w:instrText xml:space="preserve"> PAGEREF _Toc10766 \h </w:instrText>
      </w:r>
      <w:r>
        <w:fldChar w:fldCharType="separate"/>
      </w:r>
      <w:r>
        <w:t>3</w:t>
      </w:r>
      <w:r>
        <w:fldChar w:fldCharType="end"/>
      </w:r>
      <w:r>
        <w:rPr>
          <w:rFonts w:hint="eastAsia" w:ascii="宋体" w:hAnsi="宋体" w:eastAsia="宋体" w:cs="宋体"/>
          <w:spacing w:val="0"/>
          <w:lang w:eastAsia="zh-CN"/>
        </w:rPr>
        <w:fldChar w:fldCharType="end"/>
      </w:r>
    </w:p>
    <w:p w14:paraId="1443F16A">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_Toc20595 </w:instrText>
      </w:r>
      <w:r>
        <w:rPr>
          <w:rFonts w:hint="eastAsia" w:ascii="宋体" w:hAnsi="宋体" w:eastAsia="宋体" w:cs="宋体"/>
          <w:spacing w:val="0"/>
          <w:lang w:eastAsia="zh-CN"/>
        </w:rPr>
        <w:fldChar w:fldCharType="separate"/>
      </w:r>
      <w:r>
        <w:rPr>
          <w:rFonts w:hint="default" w:ascii="黑体" w:eastAsia="黑体"/>
          <w:i w:val="0"/>
        </w:rPr>
        <w:t xml:space="preserve">7 </w:t>
      </w:r>
      <w:r>
        <w:rPr>
          <w:rFonts w:hint="eastAsia"/>
          <w:highlight w:val="none"/>
        </w:rPr>
        <w:t>技术方案实施</w:t>
      </w:r>
      <w:r>
        <w:tab/>
      </w:r>
      <w:r>
        <w:fldChar w:fldCharType="begin"/>
      </w:r>
      <w:r>
        <w:instrText xml:space="preserve"> PAGEREF _Toc20595 \h </w:instrText>
      </w:r>
      <w:r>
        <w:fldChar w:fldCharType="separate"/>
      </w:r>
      <w:r>
        <w:t>3</w:t>
      </w:r>
      <w:r>
        <w:fldChar w:fldCharType="end"/>
      </w:r>
      <w:r>
        <w:rPr>
          <w:rFonts w:hint="eastAsia" w:ascii="宋体" w:hAnsi="宋体" w:eastAsia="宋体" w:cs="宋体"/>
          <w:spacing w:val="0"/>
          <w:lang w:eastAsia="zh-CN"/>
        </w:rPr>
        <w:fldChar w:fldCharType="end"/>
      </w:r>
    </w:p>
    <w:p w14:paraId="3570F26E">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_Toc12706 </w:instrText>
      </w:r>
      <w:r>
        <w:rPr>
          <w:rFonts w:hint="eastAsia" w:ascii="宋体" w:hAnsi="宋体" w:eastAsia="宋体" w:cs="宋体"/>
          <w:spacing w:val="0"/>
          <w:lang w:eastAsia="zh-CN"/>
        </w:rPr>
        <w:fldChar w:fldCharType="separate"/>
      </w:r>
      <w:r>
        <w:rPr>
          <w:rFonts w:hint="default" w:ascii="黑体" w:eastAsia="黑体"/>
          <w:i w:val="0"/>
        </w:rPr>
        <w:t xml:space="preserve">7.1 </w:t>
      </w:r>
      <w:r>
        <w:rPr>
          <w:rFonts w:hint="eastAsia"/>
          <w:highlight w:val="none"/>
        </w:rPr>
        <w:t>调查范围</w:t>
      </w:r>
      <w:r>
        <w:tab/>
      </w:r>
      <w:r>
        <w:fldChar w:fldCharType="begin"/>
      </w:r>
      <w:r>
        <w:instrText xml:space="preserve"> PAGEREF _Toc12706 \h </w:instrText>
      </w:r>
      <w:r>
        <w:fldChar w:fldCharType="separate"/>
      </w:r>
      <w:r>
        <w:t>3</w:t>
      </w:r>
      <w:r>
        <w:fldChar w:fldCharType="end"/>
      </w:r>
      <w:r>
        <w:rPr>
          <w:rFonts w:hint="eastAsia" w:ascii="宋体" w:hAnsi="宋体" w:eastAsia="宋体" w:cs="宋体"/>
          <w:spacing w:val="0"/>
          <w:lang w:eastAsia="zh-CN"/>
        </w:rPr>
        <w:fldChar w:fldCharType="end"/>
      </w:r>
    </w:p>
    <w:p w14:paraId="0BDB35C8">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_Toc31724 </w:instrText>
      </w:r>
      <w:r>
        <w:rPr>
          <w:rFonts w:hint="eastAsia" w:ascii="宋体" w:hAnsi="宋体" w:eastAsia="宋体" w:cs="宋体"/>
          <w:spacing w:val="0"/>
          <w:lang w:eastAsia="zh-CN"/>
        </w:rPr>
        <w:fldChar w:fldCharType="separate"/>
      </w:r>
      <w:r>
        <w:rPr>
          <w:rFonts w:hint="default" w:ascii="黑体" w:eastAsia="黑体"/>
          <w:i w:val="0"/>
        </w:rPr>
        <w:t xml:space="preserve">7.2 </w:t>
      </w:r>
      <w:r>
        <w:rPr>
          <w:rFonts w:hint="eastAsia"/>
          <w:highlight w:val="none"/>
        </w:rPr>
        <w:t>调查内容与指标</w:t>
      </w:r>
      <w:r>
        <w:tab/>
      </w:r>
      <w:r>
        <w:fldChar w:fldCharType="begin"/>
      </w:r>
      <w:r>
        <w:instrText xml:space="preserve"> PAGEREF _Toc31724 \h </w:instrText>
      </w:r>
      <w:r>
        <w:fldChar w:fldCharType="separate"/>
      </w:r>
      <w:r>
        <w:t>3</w:t>
      </w:r>
      <w:r>
        <w:fldChar w:fldCharType="end"/>
      </w:r>
      <w:r>
        <w:rPr>
          <w:rFonts w:hint="eastAsia" w:ascii="宋体" w:hAnsi="宋体" w:eastAsia="宋体" w:cs="宋体"/>
          <w:spacing w:val="0"/>
          <w:lang w:eastAsia="zh-CN"/>
        </w:rPr>
        <w:fldChar w:fldCharType="end"/>
      </w:r>
    </w:p>
    <w:p w14:paraId="001D27F4">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_Toc21179 </w:instrText>
      </w:r>
      <w:r>
        <w:rPr>
          <w:rFonts w:hint="eastAsia" w:ascii="宋体" w:hAnsi="宋体" w:eastAsia="宋体" w:cs="宋体"/>
          <w:spacing w:val="0"/>
          <w:lang w:eastAsia="zh-CN"/>
        </w:rPr>
        <w:fldChar w:fldCharType="separate"/>
      </w:r>
      <w:r>
        <w:rPr>
          <w:rFonts w:hint="default" w:ascii="黑体" w:eastAsia="黑体"/>
          <w:i w:val="0"/>
        </w:rPr>
        <w:t xml:space="preserve">7.3 </w:t>
      </w:r>
      <w:r>
        <w:rPr>
          <w:rFonts w:hint="eastAsia"/>
          <w:highlight w:val="none"/>
        </w:rPr>
        <w:t>调查线路与站位</w:t>
      </w:r>
      <w:r>
        <w:tab/>
      </w:r>
      <w:r>
        <w:fldChar w:fldCharType="begin"/>
      </w:r>
      <w:r>
        <w:instrText xml:space="preserve"> PAGEREF _Toc21179 \h </w:instrText>
      </w:r>
      <w:r>
        <w:fldChar w:fldCharType="separate"/>
      </w:r>
      <w:r>
        <w:t>3</w:t>
      </w:r>
      <w:r>
        <w:fldChar w:fldCharType="end"/>
      </w:r>
      <w:r>
        <w:rPr>
          <w:rFonts w:hint="eastAsia" w:ascii="宋体" w:hAnsi="宋体" w:eastAsia="宋体" w:cs="宋体"/>
          <w:spacing w:val="0"/>
          <w:lang w:eastAsia="zh-CN"/>
        </w:rPr>
        <w:fldChar w:fldCharType="end"/>
      </w:r>
    </w:p>
    <w:p w14:paraId="3D03506A">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_Toc28598 </w:instrText>
      </w:r>
      <w:r>
        <w:rPr>
          <w:rFonts w:hint="eastAsia" w:ascii="宋体" w:hAnsi="宋体" w:eastAsia="宋体" w:cs="宋体"/>
          <w:spacing w:val="0"/>
          <w:lang w:eastAsia="zh-CN"/>
        </w:rPr>
        <w:fldChar w:fldCharType="separate"/>
      </w:r>
      <w:r>
        <w:rPr>
          <w:rFonts w:hint="default" w:ascii="黑体" w:eastAsia="黑体"/>
          <w:i w:val="0"/>
        </w:rPr>
        <w:t xml:space="preserve">7.4 </w:t>
      </w:r>
      <w:r>
        <w:rPr>
          <w:rFonts w:hint="eastAsia"/>
          <w:highlight w:val="none"/>
        </w:rPr>
        <w:t>调查时间及频次</w:t>
      </w:r>
      <w:r>
        <w:tab/>
      </w:r>
      <w:r>
        <w:fldChar w:fldCharType="begin"/>
      </w:r>
      <w:r>
        <w:instrText xml:space="preserve"> PAGEREF _Toc28598 \h </w:instrText>
      </w:r>
      <w:r>
        <w:fldChar w:fldCharType="separate"/>
      </w:r>
      <w:r>
        <w:t>4</w:t>
      </w:r>
      <w:r>
        <w:fldChar w:fldCharType="end"/>
      </w:r>
      <w:r>
        <w:rPr>
          <w:rFonts w:hint="eastAsia" w:ascii="宋体" w:hAnsi="宋体" w:eastAsia="宋体" w:cs="宋体"/>
          <w:spacing w:val="0"/>
          <w:lang w:eastAsia="zh-CN"/>
        </w:rPr>
        <w:fldChar w:fldCharType="end"/>
      </w:r>
    </w:p>
    <w:p w14:paraId="2405299B">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_Toc11585 </w:instrText>
      </w:r>
      <w:r>
        <w:rPr>
          <w:rFonts w:hint="eastAsia" w:ascii="宋体" w:hAnsi="宋体" w:eastAsia="宋体" w:cs="宋体"/>
          <w:spacing w:val="0"/>
          <w:lang w:eastAsia="zh-CN"/>
        </w:rPr>
        <w:fldChar w:fldCharType="separate"/>
      </w:r>
      <w:r>
        <w:rPr>
          <w:rFonts w:hint="default" w:ascii="黑体" w:eastAsia="黑体"/>
          <w:i w:val="0"/>
        </w:rPr>
        <w:t xml:space="preserve">7.5 </w:t>
      </w:r>
      <w:r>
        <w:rPr>
          <w:rFonts w:hint="eastAsia"/>
          <w:highlight w:val="none"/>
        </w:rPr>
        <w:t>调查方法</w:t>
      </w:r>
      <w:r>
        <w:tab/>
      </w:r>
      <w:r>
        <w:fldChar w:fldCharType="begin"/>
      </w:r>
      <w:r>
        <w:instrText xml:space="preserve"> PAGEREF _Toc11585 \h </w:instrText>
      </w:r>
      <w:r>
        <w:fldChar w:fldCharType="separate"/>
      </w:r>
      <w:r>
        <w:t>4</w:t>
      </w:r>
      <w:r>
        <w:fldChar w:fldCharType="end"/>
      </w:r>
      <w:r>
        <w:rPr>
          <w:rFonts w:hint="eastAsia" w:ascii="宋体" w:hAnsi="宋体" w:eastAsia="宋体" w:cs="宋体"/>
          <w:spacing w:val="0"/>
          <w:lang w:eastAsia="zh-CN"/>
        </w:rPr>
        <w:fldChar w:fldCharType="end"/>
      </w:r>
    </w:p>
    <w:p w14:paraId="200CBB79">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_Toc3353 </w:instrText>
      </w:r>
      <w:r>
        <w:rPr>
          <w:rFonts w:hint="eastAsia" w:ascii="宋体" w:hAnsi="宋体" w:eastAsia="宋体" w:cs="宋体"/>
          <w:spacing w:val="0"/>
          <w:lang w:eastAsia="zh-CN"/>
        </w:rPr>
        <w:fldChar w:fldCharType="separate"/>
      </w:r>
      <w:r>
        <w:rPr>
          <w:rFonts w:hint="default" w:ascii="黑体" w:eastAsia="黑体"/>
          <w:i w:val="0"/>
        </w:rPr>
        <w:t xml:space="preserve">8 </w:t>
      </w:r>
      <w:r>
        <w:rPr>
          <w:rFonts w:hint="eastAsia"/>
          <w:highlight w:val="none"/>
        </w:rPr>
        <w:t>技术质量控制</w:t>
      </w:r>
      <w:r>
        <w:tab/>
      </w:r>
      <w:r>
        <w:fldChar w:fldCharType="begin"/>
      </w:r>
      <w:r>
        <w:instrText xml:space="preserve"> PAGEREF _Toc3353 \h </w:instrText>
      </w:r>
      <w:r>
        <w:fldChar w:fldCharType="separate"/>
      </w:r>
      <w:r>
        <w:t>5</w:t>
      </w:r>
      <w:r>
        <w:fldChar w:fldCharType="end"/>
      </w:r>
      <w:r>
        <w:rPr>
          <w:rFonts w:hint="eastAsia" w:ascii="宋体" w:hAnsi="宋体" w:eastAsia="宋体" w:cs="宋体"/>
          <w:spacing w:val="0"/>
          <w:lang w:eastAsia="zh-CN"/>
        </w:rPr>
        <w:fldChar w:fldCharType="end"/>
      </w:r>
    </w:p>
    <w:p w14:paraId="3F6F73FA">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_Toc25173 </w:instrText>
      </w:r>
      <w:r>
        <w:rPr>
          <w:rFonts w:hint="eastAsia" w:ascii="宋体" w:hAnsi="宋体" w:eastAsia="宋体" w:cs="宋体"/>
          <w:spacing w:val="0"/>
          <w:lang w:eastAsia="zh-CN"/>
        </w:rPr>
        <w:fldChar w:fldCharType="separate"/>
      </w:r>
      <w:r>
        <w:rPr>
          <w:rFonts w:hint="default" w:ascii="黑体" w:eastAsia="黑体"/>
          <w:i w:val="0"/>
        </w:rPr>
        <w:t xml:space="preserve">9 </w:t>
      </w:r>
      <w:r>
        <w:rPr>
          <w:rFonts w:hint="eastAsia"/>
          <w:highlight w:val="none"/>
        </w:rPr>
        <w:t>成果要求</w:t>
      </w:r>
      <w:r>
        <w:tab/>
      </w:r>
      <w:r>
        <w:fldChar w:fldCharType="begin"/>
      </w:r>
      <w:r>
        <w:instrText xml:space="preserve"> PAGEREF _Toc25173 \h </w:instrText>
      </w:r>
      <w:r>
        <w:fldChar w:fldCharType="separate"/>
      </w:r>
      <w:r>
        <w:t>5</w:t>
      </w:r>
      <w:r>
        <w:fldChar w:fldCharType="end"/>
      </w:r>
      <w:r>
        <w:rPr>
          <w:rFonts w:hint="eastAsia" w:ascii="宋体" w:hAnsi="宋体" w:eastAsia="宋体" w:cs="宋体"/>
          <w:spacing w:val="0"/>
          <w:lang w:eastAsia="zh-CN"/>
        </w:rPr>
        <w:fldChar w:fldCharType="end"/>
      </w:r>
    </w:p>
    <w:p w14:paraId="43D49F88">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_Toc2506 </w:instrText>
      </w:r>
      <w:r>
        <w:rPr>
          <w:rFonts w:hint="eastAsia" w:ascii="宋体" w:hAnsi="宋体" w:eastAsia="宋体" w:cs="宋体"/>
          <w:spacing w:val="0"/>
          <w:lang w:eastAsia="zh-CN"/>
        </w:rPr>
        <w:fldChar w:fldCharType="separate"/>
      </w:r>
      <w:r>
        <w:rPr>
          <w:rFonts w:hint="default" w:ascii="黑体" w:eastAsia="黑体"/>
          <w:i w:val="0"/>
          <w:spacing w:val="102"/>
        </w:rPr>
        <w:t xml:space="preserve">附录A </w:t>
      </w:r>
      <w:r>
        <w:rPr>
          <w:rFonts w:hint="eastAsia"/>
        </w:rPr>
        <w:t xml:space="preserve"> （资料性） </w:t>
      </w:r>
      <w:r>
        <w:rPr>
          <w:rFonts w:hint="eastAsia"/>
          <w:lang w:val="en-US" w:eastAsia="zh-CN"/>
        </w:rPr>
        <w:t>砂</w:t>
      </w:r>
      <w:r>
        <w:rPr>
          <w:rFonts w:hint="eastAsia"/>
        </w:rPr>
        <w:t>质岸线潮间带发育剖面示意图</w:t>
      </w:r>
      <w:r>
        <w:tab/>
      </w:r>
      <w:r>
        <w:fldChar w:fldCharType="begin"/>
      </w:r>
      <w:r>
        <w:instrText xml:space="preserve"> PAGEREF _Toc2506 \h </w:instrText>
      </w:r>
      <w:r>
        <w:fldChar w:fldCharType="separate"/>
      </w:r>
      <w:r>
        <w:t>6</w:t>
      </w:r>
      <w:r>
        <w:fldChar w:fldCharType="end"/>
      </w:r>
      <w:r>
        <w:rPr>
          <w:rFonts w:hint="eastAsia" w:ascii="宋体" w:hAnsi="宋体" w:eastAsia="宋体" w:cs="宋体"/>
          <w:spacing w:val="0"/>
          <w:lang w:eastAsia="zh-CN"/>
        </w:rPr>
        <w:fldChar w:fldCharType="end"/>
      </w:r>
    </w:p>
    <w:p w14:paraId="2613222D">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_Toc19872 </w:instrText>
      </w:r>
      <w:r>
        <w:rPr>
          <w:rFonts w:hint="eastAsia" w:ascii="宋体" w:hAnsi="宋体" w:eastAsia="宋体" w:cs="宋体"/>
          <w:spacing w:val="0"/>
          <w:lang w:eastAsia="zh-CN"/>
        </w:rPr>
        <w:fldChar w:fldCharType="separate"/>
      </w:r>
      <w:r>
        <w:rPr>
          <w:rFonts w:hint="eastAsia"/>
          <w:lang w:eastAsia="zh-CN"/>
        </w:rPr>
        <w:t>参 考 文 献</w:t>
      </w:r>
      <w:r>
        <w:tab/>
      </w:r>
      <w:r>
        <w:fldChar w:fldCharType="begin"/>
      </w:r>
      <w:r>
        <w:instrText xml:space="preserve"> PAGEREF _Toc19872 \h </w:instrText>
      </w:r>
      <w:r>
        <w:fldChar w:fldCharType="separate"/>
      </w:r>
      <w:r>
        <w:t>7</w:t>
      </w:r>
      <w:r>
        <w:fldChar w:fldCharType="end"/>
      </w:r>
      <w:r>
        <w:rPr>
          <w:rFonts w:hint="eastAsia" w:ascii="宋体" w:hAnsi="宋体" w:eastAsia="宋体" w:cs="宋体"/>
          <w:spacing w:val="0"/>
          <w:lang w:eastAsia="zh-CN"/>
        </w:rPr>
        <w:fldChar w:fldCharType="end"/>
      </w:r>
    </w:p>
    <w:p w14:paraId="2A3406E0">
      <w:pPr>
        <w:pStyle w:val="18"/>
        <w:bidi w:val="0"/>
        <w:rPr>
          <w:rFonts w:hint="eastAsia" w:ascii="宋体" w:hAnsi="宋体" w:eastAsia="宋体" w:cs="宋体"/>
          <w:spacing w:val="0"/>
          <w:lang w:eastAsia="zh-CN"/>
        </w:rPr>
      </w:pPr>
      <w:r>
        <w:rPr>
          <w:rFonts w:hint="eastAsia" w:ascii="宋体" w:hAnsi="宋体" w:eastAsia="宋体" w:cs="宋体"/>
          <w:spacing w:val="0"/>
          <w:lang w:eastAsia="zh-CN"/>
        </w:rPr>
        <w:fldChar w:fldCharType="end"/>
      </w:r>
    </w:p>
    <w:p w14:paraId="7B207DF0">
      <w:pPr>
        <w:pStyle w:val="18"/>
        <w:bidi w:val="0"/>
        <w:rPr>
          <w:rFonts w:hint="eastAsia" w:ascii="宋体" w:hAnsi="宋体" w:eastAsia="宋体" w:cs="宋体"/>
          <w:spacing w:val="0"/>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134" w:bottom="1134" w:left="1134" w:header="1417" w:footer="1134" w:gutter="0"/>
          <w:pgNumType w:fmt="upperRoman" w:start="1"/>
          <w:cols w:space="0" w:num="1"/>
          <w:formProt w:val="0"/>
          <w:docGrid w:type="lines" w:linePitch="326" w:charSpace="0"/>
        </w:sectPr>
      </w:pPr>
    </w:p>
    <w:bookmarkEnd w:id="1"/>
    <w:bookmarkEnd w:id="19"/>
    <w:p w14:paraId="3A6C3C81">
      <w:pPr>
        <w:pStyle w:val="40"/>
        <w:bidi w:val="0"/>
        <w:rPr>
          <w:rFonts w:hint="eastAsia"/>
          <w:lang w:eastAsia="zh-CN"/>
        </w:rPr>
      </w:pPr>
      <w:bookmarkStart w:id="20" w:name="_Toc30486"/>
      <w:bookmarkStart w:id="21" w:name="_Toc3516"/>
      <w:bookmarkStart w:id="22" w:name="_Toc29904"/>
      <w:bookmarkStart w:id="23" w:name="_Toc15463"/>
      <w:bookmarkStart w:id="24" w:name="_Toc9853"/>
      <w:bookmarkStart w:id="25" w:name="_Toc10273"/>
      <w:bookmarkStart w:id="26" w:name="_Toc25214"/>
      <w:bookmarkStart w:id="27" w:name="_Toc15026"/>
      <w:bookmarkStart w:id="28" w:name="mbookmark40"/>
      <w:r>
        <w:rPr>
          <w:rFonts w:hint="eastAsia"/>
          <w:spacing w:val="318"/>
          <w:lang w:eastAsia="zh-CN"/>
        </w:rPr>
        <w:t>前</w:t>
      </w:r>
      <w:r>
        <w:rPr>
          <w:rFonts w:hint="eastAsia"/>
          <w:lang w:eastAsia="zh-CN"/>
        </w:rPr>
        <w:t>言</w:t>
      </w:r>
      <w:bookmarkEnd w:id="20"/>
      <w:bookmarkEnd w:id="21"/>
      <w:bookmarkEnd w:id="22"/>
      <w:bookmarkEnd w:id="23"/>
      <w:bookmarkEnd w:id="24"/>
      <w:bookmarkEnd w:id="25"/>
      <w:bookmarkEnd w:id="26"/>
      <w:bookmarkEnd w:id="27"/>
    </w:p>
    <w:p w14:paraId="470BADFA">
      <w:pPr>
        <w:pStyle w:val="18"/>
        <w:bidi w:val="0"/>
        <w:rPr>
          <w:rFonts w:hint="eastAsia"/>
          <w:lang w:eastAsia="zh-CN"/>
        </w:rPr>
      </w:pPr>
      <w:r>
        <w:rPr>
          <w:rFonts w:hint="eastAsia"/>
          <w:lang w:eastAsia="zh-CN"/>
        </w:rPr>
        <w:t>本文件按照GB/T 1.1—2020《标准化工作导则  第1部分：标准化文件的结构和起草规则》的规定起草。</w:t>
      </w:r>
    </w:p>
    <w:p w14:paraId="05C13585">
      <w:pPr>
        <w:pStyle w:val="18"/>
        <w:bidi w:val="0"/>
        <w:rPr>
          <w:rFonts w:hint="eastAsia"/>
          <w:lang w:eastAsia="zh-CN"/>
        </w:rPr>
      </w:pPr>
      <w:r>
        <w:rPr>
          <w:rFonts w:hint="eastAsia"/>
          <w:lang w:eastAsia="zh-CN"/>
        </w:rPr>
        <w:t>请注意本文件的某些内容可能涉及专利。本文件的发布机构不承担识别专利的责任。</w:t>
      </w:r>
    </w:p>
    <w:p w14:paraId="6B7648F0">
      <w:pPr>
        <w:pStyle w:val="20"/>
        <w:ind w:firstLine="420"/>
        <w:rPr>
          <w:color w:val="auto"/>
        </w:rPr>
      </w:pPr>
      <w:r>
        <w:rPr>
          <w:rFonts w:hint="eastAsia"/>
          <w:color w:val="auto"/>
        </w:rPr>
        <w:t>本</w:t>
      </w:r>
      <w:r>
        <w:rPr>
          <w:rFonts w:hint="eastAsia"/>
          <w:color w:val="auto"/>
          <w:lang w:eastAsia="zh-CN"/>
        </w:rPr>
        <w:t>文件</w:t>
      </w:r>
      <w:r>
        <w:rPr>
          <w:rFonts w:hint="eastAsia"/>
          <w:color w:val="auto"/>
        </w:rPr>
        <w:t>为T</w:t>
      </w:r>
      <w:r>
        <w:rPr>
          <w:rFonts w:hint="eastAsia"/>
          <w:color w:val="auto"/>
          <w:lang w:val="en-US" w:eastAsia="zh-CN"/>
        </w:rPr>
        <w:t>/GXAS</w:t>
      </w:r>
      <w:r>
        <w:rPr>
          <w:color w:val="auto"/>
        </w:rPr>
        <w:t xml:space="preserve"> </w:t>
      </w:r>
      <w:r>
        <w:rPr>
          <w:rFonts w:hint="eastAsia"/>
          <w:color w:val="auto"/>
        </w:rPr>
        <w:t>××-××《生态恢复岸线认定技术规范》第</w:t>
      </w:r>
      <w:r>
        <w:rPr>
          <w:rFonts w:hint="eastAsia"/>
          <w:color w:val="auto"/>
          <w:lang w:val="en-US" w:eastAsia="zh-CN"/>
        </w:rPr>
        <w:t>4</w:t>
      </w:r>
      <w:r>
        <w:rPr>
          <w:rFonts w:hint="eastAsia"/>
          <w:color w:val="auto"/>
          <w:lang w:eastAsia="zh-CN"/>
        </w:rPr>
        <w:t>文件</w:t>
      </w:r>
      <w:r>
        <w:rPr>
          <w:rFonts w:hint="eastAsia"/>
          <w:color w:val="auto"/>
        </w:rPr>
        <w:t>，T</w:t>
      </w:r>
      <w:r>
        <w:rPr>
          <w:rFonts w:hint="eastAsia"/>
          <w:color w:val="auto"/>
          <w:lang w:val="en-US" w:eastAsia="zh-CN"/>
        </w:rPr>
        <w:t>/GXAS</w:t>
      </w:r>
      <w:r>
        <w:rPr>
          <w:color w:val="auto"/>
        </w:rPr>
        <w:t xml:space="preserve"> </w:t>
      </w:r>
      <w:r>
        <w:rPr>
          <w:rFonts w:hint="eastAsia"/>
          <w:color w:val="auto"/>
        </w:rPr>
        <w:t>××-××分为以下5个</w:t>
      </w:r>
      <w:r>
        <w:rPr>
          <w:rFonts w:hint="eastAsia"/>
          <w:color w:val="auto"/>
          <w:lang w:eastAsia="zh-CN"/>
        </w:rPr>
        <w:t>文件</w:t>
      </w:r>
      <w:r>
        <w:rPr>
          <w:rFonts w:hint="eastAsia"/>
          <w:color w:val="auto"/>
        </w:rPr>
        <w:t>：</w:t>
      </w:r>
    </w:p>
    <w:p w14:paraId="61427E29">
      <w:pPr>
        <w:pStyle w:val="124"/>
      </w:pPr>
      <w:r>
        <w:rPr>
          <w:rFonts w:hint="eastAsia"/>
        </w:rPr>
        <w:t>第1部分：总则；</w:t>
      </w:r>
    </w:p>
    <w:p w14:paraId="7A3A232E">
      <w:pPr>
        <w:pStyle w:val="124"/>
      </w:pPr>
      <w:r>
        <w:rPr>
          <w:rFonts w:hint="eastAsia"/>
        </w:rPr>
        <w:t>第2</w:t>
      </w:r>
      <w:r>
        <w:rPr>
          <w:rFonts w:hint="eastAsia"/>
          <w:lang w:eastAsia="zh-CN"/>
        </w:rPr>
        <w:t>文件</w:t>
      </w:r>
      <w:r>
        <w:rPr>
          <w:rFonts w:hint="eastAsia"/>
        </w:rPr>
        <w:t>：泥质岸线；</w:t>
      </w:r>
    </w:p>
    <w:p w14:paraId="1B6D65E8">
      <w:pPr>
        <w:pStyle w:val="124"/>
      </w:pPr>
      <w:r>
        <w:rPr>
          <w:rFonts w:hint="eastAsia"/>
        </w:rPr>
        <w:t>第3</w:t>
      </w:r>
      <w:r>
        <w:rPr>
          <w:rFonts w:hint="eastAsia"/>
          <w:lang w:eastAsia="zh-CN"/>
        </w:rPr>
        <w:t>文件</w:t>
      </w:r>
      <w:r>
        <w:rPr>
          <w:rFonts w:hint="eastAsia"/>
        </w:rPr>
        <w:t>：生物岸线；</w:t>
      </w:r>
    </w:p>
    <w:p w14:paraId="0C54D7BE">
      <w:pPr>
        <w:pStyle w:val="124"/>
      </w:pPr>
      <w:r>
        <w:rPr>
          <w:rFonts w:hint="eastAsia"/>
        </w:rPr>
        <w:t>第4</w:t>
      </w:r>
      <w:r>
        <w:rPr>
          <w:rFonts w:hint="eastAsia"/>
          <w:lang w:eastAsia="zh-CN"/>
        </w:rPr>
        <w:t>文件</w:t>
      </w:r>
      <w:r>
        <w:rPr>
          <w:rFonts w:hint="eastAsia"/>
        </w:rPr>
        <w:t>：砂质岸线；</w:t>
      </w:r>
    </w:p>
    <w:p w14:paraId="439E01BB">
      <w:pPr>
        <w:pStyle w:val="124"/>
      </w:pPr>
      <w:r>
        <w:rPr>
          <w:rFonts w:hint="eastAsia"/>
        </w:rPr>
        <w:t>第5</w:t>
      </w:r>
      <w:r>
        <w:rPr>
          <w:rFonts w:hint="eastAsia"/>
          <w:lang w:eastAsia="zh-CN"/>
        </w:rPr>
        <w:t>文件</w:t>
      </w:r>
      <w:r>
        <w:rPr>
          <w:rFonts w:hint="eastAsia"/>
        </w:rPr>
        <w:t>：生态化海堤。</w:t>
      </w:r>
    </w:p>
    <w:p w14:paraId="492D1DDC">
      <w:pPr>
        <w:pStyle w:val="20"/>
        <w:ind w:firstLine="420"/>
        <w:rPr>
          <w:rFonts w:hint="eastAsia"/>
        </w:rPr>
      </w:pPr>
      <w:r>
        <w:rPr>
          <w:rFonts w:hint="eastAsia"/>
        </w:rPr>
        <w:t>本</w:t>
      </w:r>
      <w:r>
        <w:rPr>
          <w:rFonts w:hint="eastAsia"/>
          <w:lang w:eastAsia="zh-CN"/>
        </w:rPr>
        <w:t>文件</w:t>
      </w:r>
      <w:r>
        <w:rPr>
          <w:rFonts w:hint="eastAsia"/>
        </w:rPr>
        <w:t>由广西壮族自治区海洋</w:t>
      </w:r>
      <w:r>
        <w:rPr>
          <w:rFonts w:hint="eastAsia"/>
          <w:lang w:val="en-US" w:eastAsia="zh-CN"/>
        </w:rPr>
        <w:t>研究院</w:t>
      </w:r>
      <w:r>
        <w:rPr>
          <w:rFonts w:hint="eastAsia"/>
        </w:rPr>
        <w:t>提出、归口并宣贯。</w:t>
      </w:r>
    </w:p>
    <w:p w14:paraId="771ABC06">
      <w:pPr>
        <w:pStyle w:val="20"/>
        <w:ind w:firstLine="420"/>
        <w:rPr>
          <w:rFonts w:hint="eastAsia" w:eastAsia="宋体"/>
          <w:lang w:eastAsia="zh-CN"/>
        </w:rPr>
      </w:pPr>
      <w:r>
        <w:rPr>
          <w:rFonts w:hint="eastAsia"/>
        </w:rPr>
        <w:t>本</w:t>
      </w:r>
      <w:r>
        <w:rPr>
          <w:rFonts w:hint="eastAsia"/>
          <w:lang w:eastAsia="zh-CN"/>
        </w:rPr>
        <w:t>文件</w:t>
      </w:r>
      <w:r>
        <w:rPr>
          <w:rFonts w:hint="eastAsia"/>
        </w:rPr>
        <w:t>由广西</w:t>
      </w:r>
      <w:r>
        <w:rPr>
          <w:rFonts w:hint="eastAsia"/>
          <w:lang w:val="en-US" w:eastAsia="zh-CN"/>
        </w:rPr>
        <w:t>标准化协会</w:t>
      </w:r>
      <w:r>
        <w:rPr>
          <w:rFonts w:hint="eastAsia"/>
        </w:rPr>
        <w:t>归口</w:t>
      </w:r>
      <w:r>
        <w:rPr>
          <w:rFonts w:hint="eastAsia"/>
          <w:lang w:eastAsia="zh-CN"/>
        </w:rPr>
        <w:t>。</w:t>
      </w:r>
    </w:p>
    <w:p w14:paraId="18DF4D4A">
      <w:pPr>
        <w:pStyle w:val="20"/>
        <w:ind w:firstLine="420"/>
      </w:pPr>
      <w:r>
        <w:rPr>
          <w:rFonts w:hint="eastAsia"/>
        </w:rPr>
        <w:t>本</w:t>
      </w:r>
      <w:r>
        <w:rPr>
          <w:rFonts w:hint="eastAsia"/>
          <w:lang w:eastAsia="zh-CN"/>
        </w:rPr>
        <w:t>文件</w:t>
      </w:r>
      <w:r>
        <w:rPr>
          <w:rFonts w:hint="eastAsia"/>
        </w:rPr>
        <w:t>起草单位：广西壮族自治区海洋研究院、钦州市海洋研究开发中心、</w:t>
      </w:r>
      <w:r>
        <w:rPr>
          <w:rFonts w:hint="eastAsia"/>
          <w:lang w:val="en-US" w:eastAsia="zh-CN"/>
        </w:rPr>
        <w:t>北部湾大学、</w:t>
      </w:r>
      <w:r>
        <w:rPr>
          <w:rFonts w:hint="eastAsia"/>
        </w:rPr>
        <w:t>防城港市海域使用动态监管中心</w:t>
      </w:r>
    </w:p>
    <w:p w14:paraId="59423A18">
      <w:pPr>
        <w:pStyle w:val="18"/>
        <w:bidi w:val="0"/>
        <w:rPr>
          <w:rFonts w:hint="eastAsia"/>
          <w:lang w:eastAsia="zh-CN"/>
        </w:rPr>
      </w:pPr>
      <w:r>
        <w:rPr>
          <w:rFonts w:hint="eastAsia"/>
          <w:lang w:eastAsia="zh-CN"/>
        </w:rPr>
        <w:t>本文件主要起草人：李英花、宁秋云、莫珍妮、何斌源、林金兰、赖廷和、李梦、张桂顺、龙云宇、张绍军、黄中坚、韦兆富、马日宇、翁培耀、鲁栋梁、刘熊。</w:t>
      </w:r>
    </w:p>
    <w:p w14:paraId="59310A9D">
      <w:pPr>
        <w:pStyle w:val="18"/>
        <w:bidi w:val="0"/>
        <w:rPr>
          <w:rFonts w:hint="eastAsia"/>
          <w:lang w:eastAsia="zh-CN"/>
        </w:rPr>
      </w:pPr>
    </w:p>
    <w:p w14:paraId="190721AC">
      <w:pPr>
        <w:pStyle w:val="18"/>
        <w:bidi w:val="0"/>
        <w:rPr>
          <w:rFonts w:hint="eastAsia"/>
          <w:lang w:eastAsia="zh-CN"/>
        </w:rPr>
      </w:pPr>
    </w:p>
    <w:p w14:paraId="4DCF4A0A">
      <w:pPr>
        <w:pStyle w:val="18"/>
        <w:bidi w:val="0"/>
        <w:rPr>
          <w:rFonts w:hint="eastAsia"/>
          <w:lang w:eastAsia="zh-CN"/>
        </w:rPr>
      </w:pPr>
    </w:p>
    <w:p w14:paraId="701BE8A6">
      <w:pPr>
        <w:pStyle w:val="18"/>
        <w:bidi w:val="0"/>
        <w:rPr>
          <w:rFonts w:hint="eastAsia"/>
          <w:lang w:eastAsia="zh-CN"/>
        </w:rPr>
      </w:pPr>
    </w:p>
    <w:p w14:paraId="3449671F">
      <w:pPr>
        <w:pStyle w:val="18"/>
        <w:bidi w:val="0"/>
        <w:rPr>
          <w:rFonts w:hint="eastAsia"/>
          <w:lang w:eastAsia="zh-CN"/>
        </w:rPr>
        <w:sectPr>
          <w:headerReference r:id="rId9" w:type="default"/>
          <w:footerReference r:id="rId11" w:type="default"/>
          <w:headerReference r:id="rId10" w:type="even"/>
          <w:footerReference r:id="rId12" w:type="even"/>
          <w:pgSz w:w="11906" w:h="16838"/>
          <w:pgMar w:top="1928" w:right="1134" w:bottom="1134" w:left="1134" w:header="1417" w:footer="1134" w:gutter="0"/>
          <w:pgNumType w:fmt="upperRoman"/>
          <w:cols w:space="720" w:num="1"/>
          <w:formProt w:val="0"/>
          <w:docGrid w:type="lines" w:linePitch="326" w:charSpace="0"/>
        </w:sectPr>
      </w:pPr>
      <w:bookmarkStart w:id="268" w:name="_GoBack"/>
      <w:bookmarkEnd w:id="268"/>
    </w:p>
    <w:bookmarkEnd w:id="28"/>
    <w:p w14:paraId="3610E7A6">
      <w:pPr>
        <w:pStyle w:val="40"/>
        <w:bidi w:val="0"/>
        <w:rPr>
          <w:rFonts w:hint="eastAsia"/>
          <w:lang w:eastAsia="zh-CN"/>
        </w:rPr>
      </w:pPr>
      <w:bookmarkStart w:id="29" w:name="_Toc28781"/>
      <w:bookmarkStart w:id="30" w:name="_Toc9067"/>
      <w:bookmarkStart w:id="31" w:name="_Toc7559"/>
      <w:bookmarkStart w:id="32" w:name="_Toc9917"/>
      <w:bookmarkStart w:id="33" w:name="_Toc19552"/>
      <w:bookmarkStart w:id="34" w:name="_Toc13099"/>
      <w:bookmarkStart w:id="35" w:name="_Toc2126"/>
      <w:bookmarkStart w:id="36" w:name="_Toc21810"/>
      <w:bookmarkStart w:id="37" w:name="mbookmark50"/>
      <w:r>
        <w:rPr>
          <w:rFonts w:hint="eastAsia"/>
          <w:spacing w:val="318"/>
          <w:lang w:eastAsia="zh-CN"/>
        </w:rPr>
        <w:t>引</w:t>
      </w:r>
      <w:r>
        <w:rPr>
          <w:rFonts w:hint="eastAsia"/>
          <w:lang w:eastAsia="zh-CN"/>
        </w:rPr>
        <w:t>言</w:t>
      </w:r>
      <w:bookmarkEnd w:id="29"/>
      <w:bookmarkEnd w:id="30"/>
      <w:bookmarkEnd w:id="31"/>
      <w:bookmarkEnd w:id="32"/>
      <w:bookmarkEnd w:id="33"/>
      <w:bookmarkEnd w:id="34"/>
      <w:bookmarkEnd w:id="35"/>
      <w:bookmarkEnd w:id="36"/>
    </w:p>
    <w:p w14:paraId="0902D6A6">
      <w:pPr>
        <w:pStyle w:val="12"/>
        <w:keepNext w:val="0"/>
        <w:keepLines w:val="0"/>
        <w:widowControl/>
        <w:suppressLineNumbers w:val="0"/>
        <w:suppressAutoHyphens/>
        <w:spacing w:before="0" w:beforeAutospacing="0" w:after="0" w:afterAutospacing="0"/>
        <w:ind w:left="0" w:right="0" w:firstLine="420"/>
        <w:jc w:val="left"/>
        <w:rPr>
          <w:rFonts w:hint="eastAsia" w:ascii="宋体" w:hAnsi="宋体" w:eastAsia="宋体" w:cs="Times New Roman"/>
          <w:kern w:val="2"/>
          <w:sz w:val="21"/>
          <w:szCs w:val="21"/>
          <w:lang w:val="en-US" w:eastAsia="zh-CN" w:bidi="ar"/>
        </w:rPr>
      </w:pPr>
      <w:r>
        <w:rPr>
          <w:rFonts w:hint="eastAsia" w:ascii="宋体" w:hAnsi="宋体" w:eastAsia="宋体" w:cs="Times New Roman"/>
          <w:kern w:val="2"/>
          <w:sz w:val="21"/>
          <w:szCs w:val="21"/>
          <w:lang w:val="en-US" w:eastAsia="zh-CN" w:bidi="ar"/>
        </w:rPr>
        <w:t>为规范广西壮族自治区生态恢复岸线认定工作，统一认定程序、通用技术要求、质量控制和成果管理要求，保障认定成果的科学性、规范性和可追溯性，支撑海洋生态保护修复成效管理和自然岸线保有率目标管理，制定本文件。</w:t>
      </w:r>
    </w:p>
    <w:p w14:paraId="4CEDD432">
      <w:pPr>
        <w:pStyle w:val="20"/>
        <w:ind w:firstLine="420"/>
        <w:rPr>
          <w:rFonts w:hint="eastAsia" w:eastAsia="宋体"/>
          <w:lang w:eastAsia="zh-CN"/>
        </w:rPr>
      </w:pPr>
      <w:r>
        <w:rPr>
          <w:rFonts w:hint="eastAsia"/>
        </w:rPr>
        <w:t>T/</w:t>
      </w:r>
      <w:r>
        <w:rPr>
          <w:rFonts w:hint="eastAsia"/>
          <w:color w:val="auto"/>
          <w:lang w:val="en-US" w:eastAsia="zh-CN"/>
        </w:rPr>
        <w:t>GXAS</w:t>
      </w:r>
      <w:r>
        <w:t xml:space="preserve"> </w:t>
      </w:r>
      <w:r>
        <w:rPr>
          <w:rFonts w:hint="eastAsia"/>
        </w:rPr>
        <w:t>××-××《生态恢复海岸线认定技术规范》规范不同类型生态恢复海岸线认定的内容、方法等，为我国海洋生态保护修复项目修复后的海岸线认定提供技术支撑，共分为</w:t>
      </w:r>
      <w:r>
        <w:t>5</w:t>
      </w:r>
      <w:r>
        <w:rPr>
          <w:rFonts w:hint="eastAsia"/>
        </w:rPr>
        <w:t>个部分</w:t>
      </w:r>
      <w:r>
        <w:rPr>
          <w:rFonts w:hint="eastAsia"/>
          <w:lang w:eastAsia="zh-CN"/>
        </w:rPr>
        <w:t>：</w:t>
      </w:r>
    </w:p>
    <w:p w14:paraId="11C8F32D">
      <w:pPr>
        <w:pStyle w:val="124"/>
      </w:pPr>
      <w:r>
        <w:rPr>
          <w:rFonts w:hint="eastAsia"/>
        </w:rPr>
        <w:t>第1部分：总则。目的在于</w:t>
      </w:r>
      <w:r>
        <w:rPr>
          <w:rFonts w:hint="eastAsia" w:ascii="宋体" w:hAnsi="宋体" w:eastAsia="宋体" w:cs="Times New Roman"/>
          <w:kern w:val="2"/>
          <w:sz w:val="21"/>
          <w:szCs w:val="21"/>
          <w:lang w:val="en-US" w:eastAsia="zh-CN" w:bidi="ar"/>
        </w:rPr>
        <w:t>规定生态恢复岸线认定的总体要求和通用技术要求</w:t>
      </w:r>
      <w:r>
        <w:rPr>
          <w:rFonts w:hint="eastAsia" w:hAnsi="宋体" w:cs="Times New Roman"/>
          <w:kern w:val="2"/>
          <w:sz w:val="21"/>
          <w:szCs w:val="21"/>
          <w:lang w:val="en-US" w:eastAsia="zh-CN" w:bidi="ar"/>
        </w:rPr>
        <w:t>；</w:t>
      </w:r>
    </w:p>
    <w:p w14:paraId="5AA8D20D">
      <w:pPr>
        <w:pStyle w:val="124"/>
      </w:pPr>
      <w:r>
        <w:rPr>
          <w:rFonts w:hint="eastAsia"/>
        </w:rPr>
        <w:t>第2部分：泥质岸线。目的在于规范生态恢复的泥质岸线认定的</w:t>
      </w:r>
      <w:r>
        <w:rPr>
          <w:rFonts w:hint="eastAsia" w:ascii="宋体" w:hAnsi="宋体" w:eastAsia="宋体" w:cs="Times New Roman"/>
          <w:kern w:val="2"/>
          <w:sz w:val="21"/>
          <w:szCs w:val="21"/>
          <w:lang w:val="en-US" w:eastAsia="zh-CN" w:bidi="ar"/>
        </w:rPr>
        <w:t>认定指标、调查方法和类型判定要求</w:t>
      </w:r>
      <w:r>
        <w:rPr>
          <w:rFonts w:hint="eastAsia" w:hAnsi="宋体" w:cs="Times New Roman"/>
          <w:kern w:val="2"/>
          <w:sz w:val="21"/>
          <w:szCs w:val="21"/>
          <w:lang w:val="en-US" w:eastAsia="zh-CN" w:bidi="ar"/>
        </w:rPr>
        <w:t>；</w:t>
      </w:r>
    </w:p>
    <w:p w14:paraId="69849C24">
      <w:pPr>
        <w:pStyle w:val="124"/>
      </w:pPr>
      <w:r>
        <w:rPr>
          <w:rFonts w:hint="eastAsia"/>
        </w:rPr>
        <w:t>第3部分：生物岸线。目的在于规范生态恢复的生物岸线认定的</w:t>
      </w:r>
      <w:r>
        <w:rPr>
          <w:rFonts w:hint="eastAsia" w:ascii="宋体" w:hAnsi="宋体" w:eastAsia="宋体" w:cs="Times New Roman"/>
          <w:kern w:val="2"/>
          <w:sz w:val="21"/>
          <w:szCs w:val="21"/>
          <w:lang w:val="en-US" w:eastAsia="zh-CN" w:bidi="ar"/>
        </w:rPr>
        <w:t>认定指标、调查方法和类型判定要求</w:t>
      </w:r>
      <w:r>
        <w:rPr>
          <w:rFonts w:hint="eastAsia" w:hAnsi="宋体" w:cs="Times New Roman"/>
          <w:kern w:val="2"/>
          <w:sz w:val="21"/>
          <w:szCs w:val="21"/>
          <w:lang w:val="en-US" w:eastAsia="zh-CN" w:bidi="ar"/>
        </w:rPr>
        <w:t>；</w:t>
      </w:r>
    </w:p>
    <w:p w14:paraId="24F45ECC">
      <w:pPr>
        <w:pStyle w:val="124"/>
      </w:pPr>
      <w:r>
        <w:rPr>
          <w:rFonts w:hint="eastAsia"/>
        </w:rPr>
        <w:t>第4部分：砂质岸线。目的在于规范生态恢复的砂质岸线认定的</w:t>
      </w:r>
      <w:r>
        <w:rPr>
          <w:rFonts w:hint="eastAsia" w:ascii="宋体" w:hAnsi="宋体" w:eastAsia="宋体" w:cs="Times New Roman"/>
          <w:kern w:val="2"/>
          <w:sz w:val="21"/>
          <w:szCs w:val="21"/>
          <w:lang w:val="en-US" w:eastAsia="zh-CN" w:bidi="ar"/>
        </w:rPr>
        <w:t>认定指标、调查方法和类型判定要求</w:t>
      </w:r>
      <w:r>
        <w:rPr>
          <w:rFonts w:hint="eastAsia" w:hAnsi="宋体" w:cs="Times New Roman"/>
          <w:kern w:val="2"/>
          <w:sz w:val="21"/>
          <w:szCs w:val="21"/>
          <w:lang w:val="en-US" w:eastAsia="zh-CN" w:bidi="ar"/>
        </w:rPr>
        <w:t>；</w:t>
      </w:r>
    </w:p>
    <w:p w14:paraId="7A774AFA">
      <w:pPr>
        <w:pStyle w:val="124"/>
        <w:rPr>
          <w:rFonts w:hint="eastAsia" w:ascii="宋体" w:hAnsi="宋体" w:eastAsia="宋体" w:cs="Times New Roman"/>
          <w:kern w:val="2"/>
          <w:sz w:val="21"/>
          <w:szCs w:val="21"/>
          <w:lang w:val="en-US" w:eastAsia="zh-CN" w:bidi="ar"/>
        </w:rPr>
      </w:pPr>
      <w:r>
        <w:rPr>
          <w:rFonts w:hint="eastAsia"/>
        </w:rPr>
        <w:t>第5部分：生态化海堤。目的在于规范生态化海堤认定的</w:t>
      </w:r>
      <w:r>
        <w:rPr>
          <w:rFonts w:hint="eastAsia" w:ascii="宋体" w:hAnsi="宋体" w:eastAsia="宋体" w:cs="Times New Roman"/>
          <w:kern w:val="2"/>
          <w:sz w:val="21"/>
          <w:szCs w:val="21"/>
          <w:lang w:val="en-US" w:eastAsia="zh-CN" w:bidi="ar"/>
        </w:rPr>
        <w:t>认定指标、</w:t>
      </w:r>
      <w:r>
        <w:rPr>
          <w:rFonts w:hint="eastAsia"/>
          <w:lang w:val="en-US" w:eastAsia="zh-CN"/>
        </w:rPr>
        <w:t>调查方法和类型判定要求。</w:t>
      </w:r>
    </w:p>
    <w:p w14:paraId="0AED6E0B">
      <w:pPr>
        <w:pStyle w:val="18"/>
        <w:bidi w:val="0"/>
        <w:rPr>
          <w:rFonts w:hint="eastAsia"/>
          <w:color w:val="0070C0"/>
          <w:lang w:eastAsia="zh-CN"/>
        </w:rPr>
      </w:pPr>
    </w:p>
    <w:p w14:paraId="0D8BFB53">
      <w:pPr>
        <w:pStyle w:val="18"/>
        <w:bidi w:val="0"/>
        <w:rPr>
          <w:rFonts w:hint="eastAsia"/>
          <w:lang w:eastAsia="zh-CN"/>
        </w:rPr>
      </w:pPr>
    </w:p>
    <w:p w14:paraId="5D7F89E7">
      <w:pPr>
        <w:pStyle w:val="18"/>
        <w:bidi w:val="0"/>
        <w:rPr>
          <w:rFonts w:hint="eastAsia"/>
          <w:lang w:eastAsia="zh-CN"/>
        </w:rPr>
      </w:pPr>
    </w:p>
    <w:p w14:paraId="03C8B38E">
      <w:pPr>
        <w:pStyle w:val="18"/>
        <w:bidi w:val="0"/>
        <w:rPr>
          <w:rFonts w:hint="eastAsia"/>
          <w:lang w:eastAsia="zh-CN"/>
        </w:rPr>
      </w:pPr>
    </w:p>
    <w:p w14:paraId="4AEF4ED6">
      <w:pPr>
        <w:pStyle w:val="18"/>
        <w:bidi w:val="0"/>
        <w:rPr>
          <w:rFonts w:hint="eastAsia"/>
          <w:lang w:eastAsia="zh-CN"/>
        </w:rPr>
      </w:pPr>
    </w:p>
    <w:p w14:paraId="2EEB2E4D">
      <w:pPr>
        <w:pStyle w:val="18"/>
        <w:bidi w:val="0"/>
        <w:rPr>
          <w:rFonts w:hint="eastAsia"/>
          <w:lang w:eastAsia="zh-CN"/>
        </w:rPr>
      </w:pPr>
    </w:p>
    <w:p w14:paraId="5BA6800A">
      <w:pPr>
        <w:pStyle w:val="18"/>
        <w:bidi w:val="0"/>
        <w:rPr>
          <w:rFonts w:hint="eastAsia"/>
          <w:lang w:eastAsia="zh-CN"/>
        </w:rPr>
        <w:sectPr>
          <w:headerReference r:id="rId13" w:type="default"/>
          <w:footerReference r:id="rId15" w:type="default"/>
          <w:headerReference r:id="rId14" w:type="even"/>
          <w:footerReference r:id="rId16" w:type="even"/>
          <w:pgSz w:w="11906" w:h="16838"/>
          <w:pgMar w:top="1928" w:right="1134" w:bottom="1134" w:left="1134" w:header="1417" w:footer="1134" w:gutter="0"/>
          <w:cols w:space="720" w:num="1"/>
          <w:formProt w:val="0"/>
          <w:docGrid w:type="lines" w:linePitch="326" w:charSpace="0"/>
        </w:sectPr>
      </w:pPr>
    </w:p>
    <w:bookmarkEnd w:id="37"/>
    <w:p w14:paraId="39E087B6">
      <w:pPr>
        <w:pStyle w:val="41"/>
        <w:spacing w:after="468"/>
        <w:rPr>
          <w:rFonts w:hint="eastAsia" w:eastAsia="黑体"/>
          <w:lang w:eastAsia="zh-CN"/>
        </w:rPr>
      </w:pPr>
      <w:bookmarkStart w:id="38" w:name="文件名称_Z"/>
      <w:bookmarkStart w:id="39" w:name="mbookmark60"/>
      <w:r>
        <w:rPr>
          <w:rFonts w:hint="eastAsia"/>
          <w:lang w:eastAsia="zh-CN"/>
        </w:rPr>
        <w:t>生态恢复岸线认定技术规范  第4部分：砂质岸线</w:t>
      </w:r>
      <w:bookmarkEnd w:id="38"/>
    </w:p>
    <w:bookmarkEnd w:id="39"/>
    <w:p w14:paraId="73406B77">
      <w:pPr>
        <w:pStyle w:val="19"/>
        <w:spacing w:before="312" w:after="312"/>
        <w:rPr>
          <w:rFonts w:hint="eastAsia"/>
        </w:rPr>
      </w:pPr>
      <w:bookmarkStart w:id="40" w:name="_Toc15049"/>
      <w:bookmarkStart w:id="41" w:name="_Toc31881"/>
      <w:bookmarkStart w:id="42" w:name="_Toc3547"/>
      <w:bookmarkStart w:id="43" w:name="_Toc26986530"/>
      <w:bookmarkStart w:id="44" w:name="_Toc98860775"/>
      <w:bookmarkStart w:id="45" w:name="_Toc14418"/>
      <w:bookmarkStart w:id="46" w:name="_Toc98860474"/>
      <w:bookmarkStart w:id="47" w:name="_Toc17233325"/>
      <w:bookmarkStart w:id="48" w:name="_Toc98859012"/>
      <w:bookmarkStart w:id="49" w:name="_Toc131273875"/>
      <w:bookmarkStart w:id="50" w:name="_Toc17233333"/>
      <w:bookmarkStart w:id="51" w:name="_Toc24884211"/>
      <w:bookmarkStart w:id="52" w:name="_Toc26648465"/>
      <w:bookmarkStart w:id="53" w:name="_Toc26718930"/>
      <w:bookmarkStart w:id="54" w:name="_Toc27876"/>
      <w:bookmarkStart w:id="55" w:name="_Toc1899"/>
      <w:bookmarkStart w:id="56" w:name="_Toc10619"/>
      <w:bookmarkStart w:id="57" w:name="_Toc5234"/>
      <w:bookmarkStart w:id="58" w:name="_Toc24884218"/>
      <w:bookmarkStart w:id="59" w:name="_Toc26986771"/>
      <w:r>
        <w:rPr>
          <w:rFonts w:hint="eastAsia"/>
        </w:rPr>
        <w:t>范围</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E521F1B">
      <w:pPr>
        <w:pStyle w:val="18"/>
        <w:rPr>
          <w:rFonts w:hint="eastAsia"/>
        </w:rPr>
      </w:pPr>
      <w:bookmarkStart w:id="60" w:name="_Toc98859013"/>
      <w:bookmarkStart w:id="61" w:name="_Toc98860776"/>
      <w:bookmarkStart w:id="62" w:name="_Toc26986531"/>
      <w:bookmarkStart w:id="63" w:name="_Toc26648466"/>
      <w:bookmarkStart w:id="64" w:name="_Toc26718931"/>
      <w:bookmarkStart w:id="65" w:name="_Toc17233326"/>
      <w:bookmarkStart w:id="66" w:name="_Toc26213"/>
      <w:bookmarkStart w:id="67" w:name="_Toc27603"/>
      <w:bookmarkStart w:id="68" w:name="_Toc98860475"/>
      <w:bookmarkStart w:id="69" w:name="_Toc26986772"/>
      <w:bookmarkStart w:id="70" w:name="_Toc24884212"/>
      <w:bookmarkStart w:id="71" w:name="_Toc22496"/>
      <w:bookmarkStart w:id="72" w:name="_Toc11287"/>
      <w:bookmarkStart w:id="73" w:name="_Toc131273876"/>
      <w:bookmarkStart w:id="74" w:name="_Toc24884219"/>
      <w:bookmarkStart w:id="75" w:name="_Toc19610"/>
      <w:bookmarkStart w:id="76" w:name="_Toc17233334"/>
      <w:bookmarkStart w:id="77" w:name="_Toc16574"/>
      <w:bookmarkStart w:id="78" w:name="_Toc625"/>
      <w:r>
        <w:rPr>
          <w:rFonts w:hint="eastAsia"/>
          <w:lang w:eastAsia="zh-CN"/>
        </w:rPr>
        <w:t>本文件规定了生态恢复的砂质岸线认定的一般规定、认定标准、技术方法等要求。</w:t>
      </w:r>
    </w:p>
    <w:p w14:paraId="337BAB15">
      <w:pPr>
        <w:pStyle w:val="18"/>
        <w:rPr>
          <w:rFonts w:hint="eastAsia"/>
        </w:rPr>
      </w:pPr>
      <w:r>
        <w:rPr>
          <w:rFonts w:hint="eastAsia"/>
          <w:lang w:eastAsia="zh-CN"/>
        </w:rPr>
        <w:t>本文件适用于广西行政区域内生态恢复的砂质岸线认定工作。</w:t>
      </w:r>
    </w:p>
    <w:p w14:paraId="4B928728">
      <w:pPr>
        <w:pStyle w:val="19"/>
        <w:spacing w:before="312" w:after="312"/>
        <w:rPr>
          <w:rFonts w:hint="eastAsia"/>
        </w:rPr>
      </w:pPr>
      <w:bookmarkStart w:id="79" w:name="_Toc23150"/>
      <w:r>
        <w:rPr>
          <w:rFonts w:hint="eastAsia"/>
        </w:rPr>
        <w:t>规范性引用文件</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FB3FE14">
      <w:pPr>
        <w:pStyle w:val="18"/>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77C1385">
      <w:pPr>
        <w:pStyle w:val="20"/>
        <w:ind w:firstLine="420"/>
      </w:pPr>
      <w:r>
        <w:rPr>
          <w:rFonts w:hint="eastAsia"/>
        </w:rPr>
        <w:t>HY/T 0460.</w:t>
      </w:r>
      <w:r>
        <w:rPr>
          <w:rFonts w:hint="eastAsia"/>
          <w:lang w:val="en-US" w:eastAsia="zh-CN"/>
        </w:rPr>
        <w:t>8</w:t>
      </w:r>
      <w:r>
        <w:rPr>
          <w:rFonts w:hint="eastAsia"/>
        </w:rPr>
        <w:t>-2024</w:t>
      </w:r>
      <w:r>
        <w:t xml:space="preserve">  </w:t>
      </w:r>
      <w:r>
        <w:rPr>
          <w:rFonts w:hint="eastAsia"/>
        </w:rPr>
        <w:t xml:space="preserve">海岸带生态系统现状调查与评估技术导则 </w:t>
      </w:r>
      <w:r>
        <w:t xml:space="preserve"> </w:t>
      </w:r>
      <w:r>
        <w:rPr>
          <w:rFonts w:hint="eastAsia"/>
        </w:rPr>
        <w:t>第</w:t>
      </w:r>
      <w:r>
        <w:rPr>
          <w:rFonts w:hint="eastAsia"/>
          <w:lang w:val="en-US" w:eastAsia="zh-CN"/>
        </w:rPr>
        <w:t>8</w:t>
      </w:r>
      <w:r>
        <w:rPr>
          <w:rFonts w:hint="eastAsia"/>
        </w:rPr>
        <w:t>部分：</w:t>
      </w:r>
      <w:r>
        <w:rPr>
          <w:rFonts w:hint="eastAsia"/>
          <w:lang w:val="en-US" w:eastAsia="zh-CN"/>
        </w:rPr>
        <w:t>砂</w:t>
      </w:r>
      <w:r>
        <w:rPr>
          <w:rFonts w:hint="eastAsia"/>
        </w:rPr>
        <w:t>质海岸</w:t>
      </w:r>
    </w:p>
    <w:p w14:paraId="62EEE581">
      <w:pPr>
        <w:pStyle w:val="20"/>
        <w:ind w:firstLine="420"/>
        <w:rPr>
          <w:rFonts w:hint="eastAsia" w:hAnsi="Times New Roman" w:eastAsia="宋体" w:cs="Times New Roman"/>
        </w:rPr>
      </w:pPr>
      <w:r>
        <w:rPr>
          <w:rFonts w:hint="eastAsia" w:hAnsi="Times New Roman" w:eastAsia="宋体" w:cs="Times New Roman"/>
          <w:lang w:val="en-US" w:eastAsia="zh-CN"/>
        </w:rPr>
        <w:t>GB/T 42435 2023 海岸侵蚀监测与灾害损失评估技术规范</w:t>
      </w:r>
    </w:p>
    <w:p w14:paraId="379D228A">
      <w:pPr>
        <w:pStyle w:val="20"/>
        <w:ind w:firstLine="420"/>
        <w:rPr>
          <w:rFonts w:hint="eastAsia" w:hAnsi="Times New Roman" w:eastAsia="宋体" w:cs="Times New Roman"/>
        </w:rPr>
      </w:pPr>
      <w:r>
        <w:rPr>
          <w:rFonts w:hint="eastAsia" w:hAnsi="Times New Roman" w:eastAsia="宋体" w:cs="Times New Roman"/>
        </w:rPr>
        <w:t>GB/T 12763.8-2007</w:t>
      </w:r>
      <w:r>
        <w:rPr>
          <w:rFonts w:hint="eastAsia" w:hAnsi="Times New Roman" w:eastAsia="宋体" w:cs="Times New Roman"/>
          <w:lang w:val="en-US" w:eastAsia="zh-CN"/>
        </w:rPr>
        <w:t xml:space="preserve"> </w:t>
      </w:r>
      <w:r>
        <w:rPr>
          <w:rFonts w:hint="eastAsia" w:hAnsi="Times New Roman" w:eastAsia="宋体" w:cs="Times New Roman"/>
        </w:rPr>
        <w:t>海洋调查规范 第8部分：海洋地质地球物理调查</w:t>
      </w:r>
    </w:p>
    <w:p w14:paraId="7C762236">
      <w:pPr>
        <w:pStyle w:val="20"/>
        <w:ind w:firstLine="420"/>
        <w:rPr>
          <w:rFonts w:hint="eastAsia" w:hAnsi="Times New Roman" w:eastAsia="宋体" w:cs="Times New Roman"/>
        </w:rPr>
      </w:pPr>
      <w:r>
        <w:rPr>
          <w:rFonts w:hint="eastAsia" w:hAnsi="Times New Roman" w:eastAsia="宋体" w:cs="Times New Roman"/>
        </w:rPr>
        <w:t>T/</w:t>
      </w:r>
      <w:r>
        <w:rPr>
          <w:rFonts w:hint="eastAsia"/>
          <w:color w:val="auto"/>
          <w:lang w:val="en-US" w:eastAsia="zh-CN"/>
        </w:rPr>
        <w:t>GXAS</w:t>
      </w:r>
      <w:r>
        <w:rPr>
          <w:rFonts w:hint="eastAsia" w:hAnsi="Times New Roman" w:eastAsia="宋体" w:cs="Times New Roman"/>
        </w:rPr>
        <w:t xml:space="preserve"> ××.1-××  生态恢复海岸线认定技术规范  第1部分：总则</w:t>
      </w:r>
    </w:p>
    <w:p w14:paraId="39800190">
      <w:pPr>
        <w:pStyle w:val="19"/>
        <w:spacing w:before="312" w:after="312"/>
        <w:rPr>
          <w:rFonts w:hint="eastAsia"/>
          <w:highlight w:val="none"/>
        </w:rPr>
      </w:pPr>
      <w:bookmarkStart w:id="80" w:name="_Toc22867"/>
      <w:bookmarkStart w:id="81" w:name="_Toc1309"/>
      <w:bookmarkStart w:id="82" w:name="_Toc30468"/>
      <w:bookmarkStart w:id="83" w:name="_Toc5317"/>
      <w:bookmarkStart w:id="84" w:name="_Toc98859014"/>
      <w:bookmarkStart w:id="85" w:name="_Toc98860777"/>
      <w:bookmarkStart w:id="86" w:name="_Toc29893"/>
      <w:bookmarkStart w:id="87" w:name="_Toc98860476"/>
      <w:bookmarkStart w:id="88" w:name="_Toc989"/>
      <w:bookmarkStart w:id="89" w:name="_Toc10126"/>
      <w:bookmarkStart w:id="90" w:name="_Toc131273877"/>
      <w:bookmarkStart w:id="91" w:name="_Toc10955"/>
      <w:r>
        <w:rPr>
          <w:rFonts w:hint="eastAsia"/>
          <w:highlight w:val="none"/>
        </w:rPr>
        <w:t>术语和定义</w:t>
      </w:r>
      <w:bookmarkEnd w:id="80"/>
      <w:bookmarkEnd w:id="81"/>
      <w:bookmarkEnd w:id="82"/>
      <w:bookmarkEnd w:id="83"/>
      <w:bookmarkEnd w:id="84"/>
      <w:bookmarkEnd w:id="85"/>
      <w:bookmarkEnd w:id="86"/>
      <w:bookmarkEnd w:id="87"/>
      <w:bookmarkEnd w:id="88"/>
      <w:bookmarkEnd w:id="89"/>
      <w:bookmarkEnd w:id="90"/>
      <w:bookmarkEnd w:id="91"/>
    </w:p>
    <w:p w14:paraId="7F3E419B">
      <w:pPr>
        <w:pStyle w:val="18"/>
        <w:rPr>
          <w:rFonts w:hint="eastAsia"/>
          <w:highlight w:val="none"/>
        </w:rPr>
      </w:pPr>
      <w:bookmarkStart w:id="92" w:name="_Toc26986532"/>
      <w:bookmarkEnd w:id="92"/>
      <w:r>
        <w:rPr>
          <w:highlight w:val="none"/>
        </w:rPr>
        <w:t>下列术语和定义适用于本文件。</w:t>
      </w:r>
    </w:p>
    <w:p w14:paraId="319CF73B">
      <w:pPr>
        <w:pStyle w:val="85"/>
        <w:ind w:left="420" w:hanging="420"/>
        <w:rPr>
          <w:rFonts w:hint="eastAsia"/>
          <w:highlight w:val="none"/>
        </w:rPr>
      </w:pPr>
      <w:bookmarkStart w:id="93" w:name="_Toc192148064"/>
    </w:p>
    <w:p w14:paraId="0CB16A6F">
      <w:pPr>
        <w:pStyle w:val="85"/>
        <w:numPr>
          <w:ilvl w:val="0"/>
          <w:numId w:val="0"/>
        </w:numPr>
        <w:ind w:left="420"/>
        <w:rPr>
          <w:rFonts w:hint="eastAsia"/>
          <w:highlight w:val="none"/>
        </w:rPr>
      </w:pPr>
      <w:r>
        <w:rPr>
          <w:rFonts w:hint="eastAsia"/>
          <w:highlight w:val="none"/>
        </w:rPr>
        <w:t xml:space="preserve">生态恢复岸线  </w:t>
      </w:r>
      <w:bookmarkEnd w:id="93"/>
      <w:bookmarkStart w:id="94" w:name="OLE_LINK8"/>
      <w:bookmarkStart w:id="95" w:name="OLE_LINK7"/>
      <w:r>
        <w:rPr>
          <w:rFonts w:hint="eastAsia"/>
          <w:highlight w:val="none"/>
        </w:rPr>
        <w:t>E</w:t>
      </w:r>
      <w:r>
        <w:rPr>
          <w:highlight w:val="none"/>
        </w:rPr>
        <w:t>cologically</w:t>
      </w:r>
      <w:r>
        <w:rPr>
          <w:rFonts w:hint="eastAsia"/>
          <w:highlight w:val="none"/>
        </w:rPr>
        <w:t>-</w:t>
      </w:r>
      <w:r>
        <w:rPr>
          <w:highlight w:val="none"/>
        </w:rPr>
        <w:t>restored</w:t>
      </w:r>
      <w:r>
        <w:rPr>
          <w:rFonts w:hint="eastAsia"/>
          <w:highlight w:val="none"/>
        </w:rPr>
        <w:t xml:space="preserve"> shoreline</w:t>
      </w:r>
      <w:bookmarkEnd w:id="94"/>
      <w:bookmarkEnd w:id="95"/>
    </w:p>
    <w:p w14:paraId="0E2030C3">
      <w:pPr>
        <w:pStyle w:val="20"/>
        <w:ind w:firstLine="420"/>
        <w:rPr>
          <w:rFonts w:hint="eastAsia"/>
          <w:highlight w:val="none"/>
        </w:rPr>
      </w:pPr>
      <w:r>
        <w:rPr>
          <w:rFonts w:hint="eastAsia"/>
          <w:highlight w:val="none"/>
        </w:rPr>
        <w:t>指通过退围还海、退养还滩、开堤通海、拆除人工构筑物、沙滩养护、生态海堤建设、堤外种植等生态修复措施以及经过自然恢复形成的具有自然海岸形态特征和生态功能的海岸线。</w:t>
      </w:r>
    </w:p>
    <w:p w14:paraId="3636A18D">
      <w:pPr>
        <w:pStyle w:val="20"/>
        <w:ind w:firstLine="420"/>
        <w:rPr>
          <w:rFonts w:hint="eastAsia"/>
          <w:highlight w:val="none"/>
        </w:rPr>
      </w:pPr>
      <w:r>
        <w:rPr>
          <w:rFonts w:hint="eastAsia"/>
        </w:rPr>
        <w:t>[来源：《全国海岸线修测技术规程》，6.4.1，有修改]</w:t>
      </w:r>
    </w:p>
    <w:p w14:paraId="61FC7650">
      <w:pPr>
        <w:pStyle w:val="85"/>
        <w:ind w:left="420" w:hanging="420"/>
        <w:rPr>
          <w:rFonts w:hint="eastAsia"/>
          <w:highlight w:val="none"/>
        </w:rPr>
      </w:pPr>
      <w:r>
        <w:rPr>
          <w:color w:val="000000"/>
          <w:highlight w:val="none"/>
        </w:rPr>
        <w:br w:type="textWrapping"/>
      </w:r>
      <w:bookmarkStart w:id="96" w:name="_Toc192148065"/>
      <w:r>
        <w:rPr>
          <w:rFonts w:hint="eastAsia"/>
          <w:highlight w:val="none"/>
        </w:rPr>
        <w:t>生态恢复的</w:t>
      </w:r>
      <w:r>
        <w:rPr>
          <w:rFonts w:hint="eastAsia"/>
          <w:highlight w:val="none"/>
          <w:lang w:val="en-US" w:eastAsia="zh-CN"/>
        </w:rPr>
        <w:t>砂</w:t>
      </w:r>
      <w:r>
        <w:rPr>
          <w:rFonts w:hint="eastAsia"/>
          <w:highlight w:val="none"/>
        </w:rPr>
        <w:t xml:space="preserve">质岸线 </w:t>
      </w:r>
      <w:r>
        <w:rPr>
          <w:highlight w:val="none"/>
        </w:rPr>
        <w:t xml:space="preserve"> </w:t>
      </w:r>
      <w:r>
        <w:rPr>
          <w:rFonts w:hint="eastAsia"/>
          <w:highlight w:val="none"/>
        </w:rPr>
        <w:t>E</w:t>
      </w:r>
      <w:r>
        <w:rPr>
          <w:highlight w:val="none"/>
        </w:rPr>
        <w:t>cologically</w:t>
      </w:r>
      <w:r>
        <w:rPr>
          <w:rFonts w:hint="eastAsia"/>
          <w:highlight w:val="none"/>
        </w:rPr>
        <w:t>-</w:t>
      </w:r>
      <w:r>
        <w:rPr>
          <w:highlight w:val="none"/>
        </w:rPr>
        <w:t xml:space="preserve">restored </w:t>
      </w:r>
      <w:r>
        <w:rPr>
          <w:rFonts w:hint="eastAsia"/>
          <w:highlight w:val="none"/>
          <w:lang w:val="en-US" w:eastAsia="zh-CN"/>
        </w:rPr>
        <w:t>S</w:t>
      </w:r>
      <w:r>
        <w:rPr>
          <w:rFonts w:hint="eastAsia"/>
          <w:highlight w:val="none"/>
        </w:rPr>
        <w:t>andy</w:t>
      </w:r>
      <w:r>
        <w:rPr>
          <w:highlight w:val="none"/>
        </w:rPr>
        <w:t xml:space="preserve"> </w:t>
      </w:r>
      <w:r>
        <w:rPr>
          <w:rFonts w:hint="eastAsia"/>
          <w:highlight w:val="none"/>
        </w:rPr>
        <w:t>shoreline</w:t>
      </w:r>
      <w:r>
        <w:rPr>
          <w:highlight w:val="none"/>
        </w:rPr>
        <w:t xml:space="preserve"> </w:t>
      </w:r>
      <w:bookmarkEnd w:id="96"/>
    </w:p>
    <w:p w14:paraId="6EC54E17">
      <w:pPr>
        <w:pStyle w:val="20"/>
        <w:ind w:firstLine="420"/>
        <w:rPr>
          <w:rFonts w:hint="eastAsia"/>
          <w:highlight w:val="none"/>
        </w:rPr>
      </w:pPr>
      <w:r>
        <w:rPr>
          <w:rFonts w:hint="eastAsia"/>
          <w:highlight w:val="none"/>
        </w:rPr>
        <w:t>经过退围还海、退养还滩、开堤通海、拆除人工构筑物、</w:t>
      </w:r>
      <w:r>
        <w:rPr>
          <w:rFonts w:hint="eastAsia"/>
          <w:highlight w:val="none"/>
          <w:lang w:val="en-US" w:eastAsia="zh-CN"/>
        </w:rPr>
        <w:t>沙滩养护</w:t>
      </w:r>
      <w:r>
        <w:rPr>
          <w:rFonts w:hint="eastAsia"/>
          <w:highlight w:val="none"/>
        </w:rPr>
        <w:t>等生态修复措施以及经过自然恢复形成的具有自然海岸形态特征和生态功能的</w:t>
      </w:r>
      <w:r>
        <w:rPr>
          <w:rFonts w:hint="eastAsia"/>
          <w:highlight w:val="none"/>
          <w:lang w:val="en-US" w:eastAsia="zh-CN"/>
        </w:rPr>
        <w:t>砂</w:t>
      </w:r>
      <w:r>
        <w:rPr>
          <w:highlight w:val="none"/>
        </w:rPr>
        <w:t>质</w:t>
      </w:r>
      <w:r>
        <w:rPr>
          <w:rFonts w:hint="eastAsia"/>
          <w:highlight w:val="none"/>
        </w:rPr>
        <w:t>海</w:t>
      </w:r>
      <w:r>
        <w:rPr>
          <w:highlight w:val="none"/>
        </w:rPr>
        <w:t>岸线</w:t>
      </w:r>
      <w:r>
        <w:rPr>
          <w:rFonts w:hint="eastAsia"/>
          <w:highlight w:val="none"/>
        </w:rPr>
        <w:t>。</w:t>
      </w:r>
    </w:p>
    <w:p w14:paraId="5D203F77">
      <w:pPr>
        <w:pStyle w:val="20"/>
        <w:ind w:firstLine="420"/>
        <w:rPr>
          <w:rFonts w:hint="eastAsia"/>
          <w:highlight w:val="none"/>
        </w:rPr>
      </w:pPr>
      <w:r>
        <w:rPr>
          <w:rFonts w:hint="eastAsia"/>
        </w:rPr>
        <w:t>[来源：《全国海岸线修测技术规程》，6.4.1，有修改]</w:t>
      </w:r>
    </w:p>
    <w:p w14:paraId="6C2B99EA">
      <w:pPr>
        <w:pStyle w:val="19"/>
        <w:spacing w:before="312" w:after="312"/>
        <w:rPr>
          <w:rFonts w:hint="eastAsia"/>
          <w:highlight w:val="none"/>
        </w:rPr>
      </w:pPr>
      <w:bookmarkStart w:id="97" w:name="_Toc2055"/>
      <w:bookmarkStart w:id="98" w:name="_Toc192847291"/>
      <w:bookmarkStart w:id="99" w:name="_Toc192845300"/>
      <w:bookmarkStart w:id="100" w:name="_Toc192846367"/>
      <w:bookmarkStart w:id="101" w:name="_Toc9179"/>
      <w:bookmarkStart w:id="102" w:name="_Toc192845341"/>
      <w:bookmarkStart w:id="103" w:name="_Toc5433"/>
      <w:bookmarkStart w:id="104" w:name="_Toc192847344"/>
      <w:bookmarkStart w:id="105" w:name="_Toc192846432"/>
      <w:bookmarkStart w:id="106" w:name="_Toc819"/>
      <w:r>
        <w:rPr>
          <w:rFonts w:hint="eastAsia"/>
          <w:highlight w:val="none"/>
        </w:rPr>
        <w:t>认定工作程序</w:t>
      </w:r>
      <w:bookmarkEnd w:id="97"/>
      <w:bookmarkEnd w:id="98"/>
      <w:bookmarkEnd w:id="99"/>
      <w:bookmarkEnd w:id="100"/>
      <w:bookmarkEnd w:id="101"/>
      <w:bookmarkEnd w:id="102"/>
      <w:bookmarkEnd w:id="103"/>
      <w:bookmarkEnd w:id="104"/>
      <w:bookmarkEnd w:id="105"/>
      <w:bookmarkEnd w:id="106"/>
    </w:p>
    <w:p w14:paraId="565820E3">
      <w:pPr>
        <w:pStyle w:val="20"/>
        <w:ind w:firstLine="420"/>
        <w:rPr>
          <w:rFonts w:hint="eastAsia"/>
          <w:highlight w:val="none"/>
        </w:rPr>
      </w:pPr>
      <w:r>
        <w:rPr>
          <w:rFonts w:hint="eastAsia"/>
          <w:highlight w:val="none"/>
        </w:rPr>
        <w:t>认定工作程序按照T/</w:t>
      </w:r>
      <w:r>
        <w:rPr>
          <w:rFonts w:hint="eastAsia"/>
          <w:color w:val="auto"/>
          <w:lang w:val="en-US" w:eastAsia="zh-CN"/>
        </w:rPr>
        <w:t>GXAS</w:t>
      </w:r>
      <w:r>
        <w:rPr>
          <w:rFonts w:hint="eastAsia"/>
          <w:highlight w:val="none"/>
        </w:rPr>
        <w:t xml:space="preserve"> ××</w:t>
      </w:r>
      <w:r>
        <w:rPr>
          <w:rFonts w:hint="eastAsia"/>
          <w:highlight w:val="none"/>
          <w:lang w:val="en-US" w:eastAsia="zh-CN"/>
        </w:rPr>
        <w:t>.1</w:t>
      </w:r>
      <w:r>
        <w:rPr>
          <w:rFonts w:hint="eastAsia"/>
          <w:highlight w:val="none"/>
        </w:rPr>
        <w:t>-××中第</w:t>
      </w:r>
      <w:r>
        <w:rPr>
          <w:rFonts w:hint="eastAsia"/>
          <w:highlight w:val="none"/>
          <w:lang w:val="en-US" w:eastAsia="zh-CN"/>
        </w:rPr>
        <w:t>6</w:t>
      </w:r>
      <w:r>
        <w:rPr>
          <w:rFonts w:hint="eastAsia"/>
          <w:highlight w:val="none"/>
        </w:rPr>
        <w:t xml:space="preserve">章规定执行。 </w:t>
      </w:r>
    </w:p>
    <w:p w14:paraId="15DC55D7">
      <w:pPr>
        <w:pStyle w:val="19"/>
        <w:spacing w:before="312" w:after="312"/>
        <w:rPr>
          <w:rFonts w:hint="eastAsia"/>
          <w:highlight w:val="none"/>
        </w:rPr>
      </w:pPr>
      <w:bookmarkStart w:id="107" w:name="_Toc2620"/>
      <w:bookmarkStart w:id="108" w:name="_Toc192847348"/>
      <w:bookmarkStart w:id="109" w:name="_Toc192846436"/>
      <w:bookmarkStart w:id="110" w:name="_Toc20663"/>
      <w:bookmarkStart w:id="111" w:name="_Toc192846371"/>
      <w:bookmarkStart w:id="112" w:name="_Toc192845345"/>
      <w:bookmarkStart w:id="113" w:name="_Toc192845304"/>
      <w:bookmarkStart w:id="114" w:name="_Toc192847295"/>
      <w:bookmarkStart w:id="115" w:name="_Toc10255"/>
      <w:bookmarkStart w:id="116" w:name="_Toc24194"/>
      <w:bookmarkStart w:id="117" w:name="_Toc10372"/>
      <w:r>
        <w:rPr>
          <w:rFonts w:hint="eastAsia"/>
          <w:highlight w:val="none"/>
        </w:rPr>
        <w:t>认定</w:t>
      </w:r>
      <w:bookmarkEnd w:id="107"/>
      <w:bookmarkEnd w:id="108"/>
      <w:bookmarkEnd w:id="109"/>
      <w:bookmarkEnd w:id="110"/>
      <w:bookmarkEnd w:id="111"/>
      <w:bookmarkEnd w:id="112"/>
      <w:bookmarkEnd w:id="113"/>
      <w:bookmarkEnd w:id="114"/>
      <w:r>
        <w:rPr>
          <w:rFonts w:hint="eastAsia"/>
          <w:highlight w:val="none"/>
        </w:rPr>
        <w:t>评判标准</w:t>
      </w:r>
      <w:bookmarkEnd w:id="115"/>
      <w:bookmarkEnd w:id="116"/>
      <w:bookmarkEnd w:id="117"/>
    </w:p>
    <w:p w14:paraId="149D64B1">
      <w:pPr>
        <w:pStyle w:val="21"/>
        <w:spacing w:before="156" w:after="156"/>
        <w:ind w:left="0"/>
        <w:rPr>
          <w:rFonts w:hint="eastAsia"/>
          <w:highlight w:val="none"/>
        </w:rPr>
      </w:pPr>
      <w:bookmarkStart w:id="118" w:name="_Toc192845305"/>
      <w:bookmarkStart w:id="119" w:name="_Toc192845346"/>
      <w:bookmarkStart w:id="120" w:name="_Toc180763153"/>
      <w:bookmarkStart w:id="121" w:name="_Toc192846372"/>
      <w:bookmarkStart w:id="122" w:name="_Toc192847349"/>
      <w:bookmarkStart w:id="123" w:name="_Toc192847296"/>
      <w:bookmarkStart w:id="124" w:name="_Toc192846437"/>
      <w:bookmarkStart w:id="125" w:name="_Toc16337"/>
      <w:bookmarkStart w:id="126" w:name="_Toc29952"/>
      <w:bookmarkStart w:id="127" w:name="_Toc6645"/>
      <w:r>
        <w:rPr>
          <w:rFonts w:hint="eastAsia"/>
          <w:highlight w:val="none"/>
        </w:rPr>
        <w:t>岸线形态</w:t>
      </w:r>
      <w:bookmarkEnd w:id="118"/>
      <w:bookmarkEnd w:id="119"/>
      <w:bookmarkEnd w:id="120"/>
      <w:bookmarkEnd w:id="121"/>
      <w:bookmarkEnd w:id="122"/>
      <w:bookmarkEnd w:id="123"/>
      <w:bookmarkEnd w:id="124"/>
      <w:bookmarkEnd w:id="125"/>
      <w:r>
        <w:rPr>
          <w:rFonts w:hint="eastAsia"/>
          <w:highlight w:val="none"/>
        </w:rPr>
        <w:t>恢复有效性</w:t>
      </w:r>
      <w:bookmarkEnd w:id="126"/>
      <w:bookmarkEnd w:id="127"/>
    </w:p>
    <w:p w14:paraId="53008B11">
      <w:pPr>
        <w:pStyle w:val="18"/>
        <w:rPr>
          <w:highlight w:val="none"/>
        </w:rPr>
      </w:pPr>
      <w:bookmarkStart w:id="128" w:name="_Hlk173314415"/>
      <w:r>
        <w:rPr>
          <w:rFonts w:hint="eastAsia"/>
          <w:highlight w:val="none"/>
        </w:rPr>
        <w:t>相对于原状岸线，现状岸线得到显著提质改善，已具备</w:t>
      </w:r>
      <w:r>
        <w:rPr>
          <w:rFonts w:hint="eastAsia"/>
          <w:highlight w:val="none"/>
          <w:lang w:val="en-US" w:eastAsia="zh-CN"/>
        </w:rPr>
        <w:t>砂</w:t>
      </w:r>
      <w:r>
        <w:rPr>
          <w:rFonts w:hint="eastAsia"/>
          <w:highlight w:val="none"/>
        </w:rPr>
        <w:t>质自然岸线的</w:t>
      </w:r>
      <w:r>
        <w:rPr>
          <w:highlight w:val="none"/>
        </w:rPr>
        <w:t>形态特征和生态功能</w:t>
      </w:r>
      <w:r>
        <w:rPr>
          <w:rFonts w:hint="eastAsia"/>
          <w:highlight w:val="none"/>
        </w:rPr>
        <w:t>，认定岸线及其潮间带区域的空间利用活动得到严格管理，生态胁迫得到有效缓解。认定评判标准包括但不限于：</w:t>
      </w:r>
    </w:p>
    <w:p w14:paraId="2F3C955F">
      <w:pPr>
        <w:pStyle w:val="48"/>
        <w:bidi w:val="0"/>
        <w:ind w:left="851" w:leftChars="0" w:hanging="426" w:firstLineChars="0"/>
      </w:pPr>
      <w:r>
        <w:rPr>
          <w:rFonts w:hint="eastAsia"/>
        </w:rPr>
        <w:t>现状岸线的走向与原状岸线一致；</w:t>
      </w:r>
    </w:p>
    <w:p w14:paraId="49891658">
      <w:pPr>
        <w:pStyle w:val="48"/>
        <w:bidi w:val="0"/>
        <w:ind w:left="851" w:leftChars="0" w:hanging="426" w:firstLineChars="0"/>
      </w:pPr>
      <w:r>
        <w:t>潮间带沉积物</w:t>
      </w:r>
      <w:r>
        <w:rPr>
          <w:rFonts w:hint="eastAsia"/>
        </w:rPr>
        <w:t>类型基本为</w:t>
      </w:r>
      <w:r>
        <w:rPr>
          <w:rFonts w:hint="eastAsia"/>
          <w:lang w:val="en-US" w:eastAsia="zh-CN"/>
        </w:rPr>
        <w:t>细砂</w:t>
      </w:r>
      <w:r>
        <w:rPr>
          <w:rFonts w:hint="eastAsia"/>
        </w:rPr>
        <w:t>的类型，或</w:t>
      </w:r>
      <w:r>
        <w:t>粒径</w:t>
      </w:r>
      <w:r>
        <w:rPr>
          <w:rFonts w:hint="eastAsia"/>
        </w:rPr>
        <w:t>在</w:t>
      </w:r>
      <w:r>
        <w:t>0.0</w:t>
      </w:r>
      <w:r>
        <w:rPr>
          <w:rFonts w:hint="eastAsia"/>
          <w:lang w:val="en-US" w:eastAsia="zh-CN"/>
        </w:rPr>
        <w:t>63</w:t>
      </w:r>
      <w:r>
        <w:t>～</w:t>
      </w:r>
      <w:r>
        <w:rPr>
          <w:rFonts w:hint="eastAsia"/>
          <w:lang w:val="en-US" w:eastAsia="zh-CN"/>
        </w:rPr>
        <w:t>0.25</w:t>
      </w:r>
      <w:r>
        <w:t>mm</w:t>
      </w:r>
      <w:r>
        <w:rPr>
          <w:rFonts w:hint="eastAsia"/>
        </w:rPr>
        <w:t>范围内</w:t>
      </w:r>
      <w:r>
        <w:t>的颗粒占优势；</w:t>
      </w:r>
    </w:p>
    <w:p w14:paraId="4385B184">
      <w:pPr>
        <w:pStyle w:val="48"/>
        <w:bidi w:val="0"/>
        <w:ind w:left="851" w:leftChars="0" w:hanging="426" w:firstLineChars="0"/>
      </w:pPr>
      <w:r>
        <w:rPr>
          <w:rFonts w:hint="eastAsia"/>
        </w:rPr>
        <w:t>认定岸线的高潮线无堤围、涵闸等永久性人工构筑物覆盖；</w:t>
      </w:r>
    </w:p>
    <w:p w14:paraId="536AD0F0">
      <w:pPr>
        <w:pStyle w:val="48"/>
        <w:bidi w:val="0"/>
        <w:ind w:left="851" w:leftChars="0" w:hanging="426" w:firstLineChars="0"/>
      </w:pPr>
      <w:r>
        <w:rPr>
          <w:rFonts w:hint="eastAsia"/>
        </w:rPr>
        <w:t>岸线及修复工程区滩涂上无船只停放、滩涂养殖设施等永久性或临时性空间利用活动存在；</w:t>
      </w:r>
    </w:p>
    <w:p w14:paraId="08718285">
      <w:pPr>
        <w:pStyle w:val="48"/>
        <w:bidi w:val="0"/>
        <w:ind w:left="851" w:leftChars="0" w:hanging="426" w:firstLineChars="0"/>
      </w:pPr>
      <w:r>
        <w:rPr>
          <w:rFonts w:hint="eastAsia"/>
        </w:rPr>
        <w:t>岸线及修复工程区范围内无建筑垃圾遗弃，极少海漂垃圾留存；</w:t>
      </w:r>
    </w:p>
    <w:p w14:paraId="5D8BFD2E">
      <w:pPr>
        <w:pStyle w:val="48"/>
        <w:bidi w:val="0"/>
        <w:ind w:left="851" w:leftChars="0" w:hanging="426" w:firstLineChars="0"/>
      </w:pPr>
      <w:r>
        <w:rPr>
          <w:rFonts w:hint="eastAsia"/>
        </w:rPr>
        <w:t>认定岸线及其潮间带范围内无互花米草等外来入侵植物分布。</w:t>
      </w:r>
    </w:p>
    <w:bookmarkEnd w:id="128"/>
    <w:p w14:paraId="7881CD0C">
      <w:pPr>
        <w:pStyle w:val="21"/>
        <w:spacing w:before="156" w:after="156"/>
        <w:ind w:left="0"/>
        <w:rPr>
          <w:rFonts w:hint="eastAsia"/>
          <w:highlight w:val="none"/>
        </w:rPr>
      </w:pPr>
      <w:bookmarkStart w:id="129" w:name="_Toc32624"/>
      <w:bookmarkStart w:id="130" w:name="_Toc192847350"/>
      <w:bookmarkStart w:id="131" w:name="_Toc192847297"/>
      <w:bookmarkStart w:id="132" w:name="_Toc27296"/>
      <w:bookmarkStart w:id="133" w:name="_Toc11462"/>
      <w:r>
        <w:rPr>
          <w:rFonts w:hint="eastAsia"/>
          <w:highlight w:val="none"/>
        </w:rPr>
        <w:t>修复措施</w:t>
      </w:r>
      <w:bookmarkEnd w:id="129"/>
      <w:bookmarkEnd w:id="130"/>
      <w:bookmarkEnd w:id="131"/>
      <w:r>
        <w:rPr>
          <w:rFonts w:hint="eastAsia"/>
          <w:highlight w:val="none"/>
        </w:rPr>
        <w:t>执行符合性</w:t>
      </w:r>
      <w:bookmarkEnd w:id="132"/>
      <w:bookmarkEnd w:id="133"/>
    </w:p>
    <w:p w14:paraId="52686240">
      <w:pPr>
        <w:pStyle w:val="18"/>
        <w:rPr>
          <w:highlight w:val="none"/>
        </w:rPr>
      </w:pPr>
      <w:r>
        <w:rPr>
          <w:rFonts w:hint="eastAsia"/>
          <w:highlight w:val="none"/>
        </w:rPr>
        <w:t>工程建设不仅全部完成了实施方案设定的工程内容，而且工程质量达到相关技术要求，通过各级部门检查验收。符合性评判标准包括但不限于：</w:t>
      </w:r>
    </w:p>
    <w:p w14:paraId="2C65440D">
      <w:pPr>
        <w:pStyle w:val="48"/>
        <w:numPr>
          <w:ilvl w:val="0"/>
          <w:numId w:val="35"/>
        </w:numPr>
        <w:bidi w:val="0"/>
        <w:ind w:left="851" w:leftChars="0" w:hanging="426" w:firstLineChars="0"/>
      </w:pPr>
      <w:r>
        <w:rPr>
          <w:rFonts w:hint="eastAsia"/>
        </w:rPr>
        <w:t>工程实施范围完全覆盖认定岸线及其潮间带；</w:t>
      </w:r>
    </w:p>
    <w:p w14:paraId="2B2FBD89">
      <w:pPr>
        <w:pStyle w:val="48"/>
        <w:numPr>
          <w:ilvl w:val="0"/>
          <w:numId w:val="35"/>
        </w:numPr>
        <w:bidi w:val="0"/>
        <w:ind w:left="851" w:leftChars="0" w:hanging="426" w:firstLineChars="0"/>
      </w:pPr>
      <w:r>
        <w:rPr>
          <w:rFonts w:hint="eastAsia"/>
        </w:rPr>
        <w:t>工程执行实施方案设定的全部修复内容和方式，包括但不仅限于退围还海、退养还滩、开堤通海、拆除人工构筑物或自然恢复等措施；</w:t>
      </w:r>
    </w:p>
    <w:p w14:paraId="0AE95122">
      <w:pPr>
        <w:pStyle w:val="48"/>
        <w:numPr>
          <w:ilvl w:val="0"/>
          <w:numId w:val="35"/>
        </w:numPr>
        <w:bidi w:val="0"/>
        <w:ind w:left="851" w:leftChars="0" w:hanging="426" w:firstLineChars="0"/>
      </w:pPr>
      <w:r>
        <w:rPr>
          <w:rFonts w:hint="eastAsia"/>
        </w:rPr>
        <w:t>工程质量符合实施方案设定的技术要求；</w:t>
      </w:r>
    </w:p>
    <w:p w14:paraId="4BCFC83D">
      <w:pPr>
        <w:pStyle w:val="48"/>
        <w:numPr>
          <w:ilvl w:val="0"/>
          <w:numId w:val="35"/>
        </w:numPr>
        <w:bidi w:val="0"/>
        <w:ind w:left="851" w:leftChars="0" w:hanging="426" w:firstLineChars="0"/>
        <w:rPr>
          <w:rFonts w:hint="eastAsia"/>
        </w:rPr>
      </w:pPr>
      <w:r>
        <w:rPr>
          <w:rFonts w:hint="eastAsia"/>
        </w:rPr>
        <w:t>工程建设达成设定的绩效目标。</w:t>
      </w:r>
    </w:p>
    <w:p w14:paraId="4686F1F6">
      <w:pPr>
        <w:pStyle w:val="21"/>
        <w:spacing w:before="156" w:after="156"/>
        <w:ind w:left="0"/>
        <w:rPr>
          <w:rFonts w:hint="eastAsia"/>
        </w:rPr>
      </w:pPr>
      <w:bookmarkStart w:id="134" w:name="_Toc192845349"/>
      <w:bookmarkStart w:id="135" w:name="_Toc192846375"/>
      <w:bookmarkStart w:id="136" w:name="_Toc192845308"/>
      <w:bookmarkStart w:id="137" w:name="_Toc192846440"/>
      <w:bookmarkStart w:id="138" w:name="_Toc180763156"/>
      <w:bookmarkStart w:id="139" w:name="_Toc11521"/>
      <w:bookmarkStart w:id="140" w:name="_Toc192847298"/>
      <w:bookmarkStart w:id="141" w:name="_Toc192847351"/>
      <w:bookmarkStart w:id="142" w:name="_Toc2489"/>
      <w:bookmarkStart w:id="143" w:name="_Toc23801"/>
      <w:r>
        <w:rPr>
          <w:rFonts w:hint="eastAsia"/>
        </w:rPr>
        <w:t>潮间带发育</w:t>
      </w:r>
      <w:bookmarkEnd w:id="134"/>
      <w:bookmarkEnd w:id="135"/>
      <w:bookmarkEnd w:id="136"/>
      <w:bookmarkEnd w:id="137"/>
      <w:bookmarkEnd w:id="138"/>
      <w:r>
        <w:rPr>
          <w:rFonts w:hint="eastAsia"/>
        </w:rPr>
        <w:t>完整</w:t>
      </w:r>
      <w:bookmarkEnd w:id="139"/>
      <w:bookmarkEnd w:id="140"/>
      <w:bookmarkEnd w:id="141"/>
      <w:r>
        <w:rPr>
          <w:rFonts w:hint="eastAsia"/>
        </w:rPr>
        <w:t>程度</w:t>
      </w:r>
      <w:bookmarkEnd w:id="142"/>
      <w:bookmarkEnd w:id="143"/>
    </w:p>
    <w:p w14:paraId="08CF7F37">
      <w:pPr>
        <w:pStyle w:val="18"/>
      </w:pPr>
      <w:r>
        <w:rPr>
          <w:rFonts w:hint="eastAsia"/>
        </w:rPr>
        <w:t>潮间带滩涂向着天然滩涂的方向发育，具有相应的形态完整性</w:t>
      </w:r>
      <w:r>
        <w:rPr>
          <w:rFonts w:hint="eastAsia"/>
          <w:lang w:val="zh-CN"/>
        </w:rPr>
        <w:t>。潮间带</w:t>
      </w:r>
      <w:r>
        <w:rPr>
          <w:rFonts w:hint="eastAsia"/>
        </w:rPr>
        <w:t>发育完整程度评判标准包括但不仅限于：</w:t>
      </w:r>
    </w:p>
    <w:p w14:paraId="1BAF7F0A">
      <w:pPr>
        <w:pStyle w:val="48"/>
        <w:numPr>
          <w:ilvl w:val="0"/>
          <w:numId w:val="36"/>
        </w:numPr>
      </w:pPr>
      <w:r>
        <w:rPr>
          <w:rFonts w:hint="eastAsia"/>
        </w:rPr>
        <w:t>现状潮间带发育基本完整，高、中、低潮带连续分布且分带明显；</w:t>
      </w:r>
    </w:p>
    <w:p w14:paraId="2420B15D">
      <w:pPr>
        <w:pStyle w:val="48"/>
        <w:numPr>
          <w:ilvl w:val="0"/>
          <w:numId w:val="36"/>
        </w:numPr>
        <w:rPr>
          <w:color w:val="auto"/>
          <w:highlight w:val="none"/>
        </w:rPr>
      </w:pPr>
      <w:r>
        <w:rPr>
          <w:rFonts w:hint="eastAsia"/>
          <w:color w:val="auto"/>
          <w:highlight w:val="none"/>
          <w:lang w:val="zh-CN"/>
        </w:rPr>
        <w:t>大潮期潮水可淹及海岸线位置；</w:t>
      </w:r>
    </w:p>
    <w:p w14:paraId="71EB448C">
      <w:pPr>
        <w:pStyle w:val="48"/>
        <w:numPr>
          <w:ilvl w:val="0"/>
          <w:numId w:val="36"/>
        </w:numPr>
        <w:rPr>
          <w:color w:val="auto"/>
          <w:highlight w:val="none"/>
        </w:rPr>
      </w:pPr>
      <w:r>
        <w:rPr>
          <w:rFonts w:hint="eastAsia"/>
          <w:color w:val="auto"/>
          <w:highlight w:val="none"/>
        </w:rPr>
        <w:t>现状潮间带具有天然滩涂坡度；</w:t>
      </w:r>
    </w:p>
    <w:p w14:paraId="08EB6BDE">
      <w:pPr>
        <w:pStyle w:val="48"/>
        <w:numPr>
          <w:ilvl w:val="0"/>
          <w:numId w:val="36"/>
        </w:numPr>
        <w:rPr>
          <w:rFonts w:hint="eastAsia"/>
          <w:color w:val="auto"/>
          <w:highlight w:val="none"/>
        </w:rPr>
      </w:pPr>
      <w:r>
        <w:rPr>
          <w:rFonts w:hint="eastAsia"/>
          <w:color w:val="auto"/>
          <w:highlight w:val="none"/>
        </w:rPr>
        <w:t>具有天然形成或人工构建的潮沟，潮汐交换畅通。</w:t>
      </w:r>
    </w:p>
    <w:p w14:paraId="3760AD71">
      <w:pPr>
        <w:pStyle w:val="21"/>
        <w:spacing w:before="156" w:after="156"/>
        <w:ind w:left="0"/>
        <w:rPr>
          <w:rFonts w:hint="eastAsia"/>
          <w:color w:val="auto"/>
          <w:highlight w:val="none"/>
        </w:rPr>
      </w:pPr>
      <w:bookmarkStart w:id="144" w:name="_Toc27609"/>
      <w:bookmarkStart w:id="145" w:name="_Toc14579"/>
      <w:r>
        <w:rPr>
          <w:rFonts w:hint="eastAsia"/>
          <w:color w:val="auto"/>
          <w:highlight w:val="none"/>
        </w:rPr>
        <w:t>潮间带平均宽度要求</w:t>
      </w:r>
      <w:bookmarkEnd w:id="144"/>
      <w:bookmarkEnd w:id="145"/>
    </w:p>
    <w:p w14:paraId="3AEE5E56">
      <w:pPr>
        <w:pStyle w:val="18"/>
        <w:rPr>
          <w:rFonts w:ascii="Times New Roman" w:hAnsi="Times New Roman"/>
          <w:color w:val="auto"/>
          <w:highlight w:val="none"/>
        </w:rPr>
      </w:pPr>
      <w:r>
        <w:rPr>
          <w:rFonts w:ascii="Times New Roman" w:hAnsi="Times New Roman"/>
          <w:color w:val="auto"/>
          <w:highlight w:val="none"/>
        </w:rPr>
        <w:t>通过人工修复或自然恢复，潮间带状态</w:t>
      </w:r>
      <w:r>
        <w:rPr>
          <w:rFonts w:hint="eastAsia" w:ascii="Times New Roman" w:hAnsi="Times New Roman"/>
          <w:color w:val="auto"/>
          <w:highlight w:val="none"/>
        </w:rPr>
        <w:t>趋向</w:t>
      </w:r>
      <w:r>
        <w:rPr>
          <w:rFonts w:ascii="Times New Roman" w:hAnsi="Times New Roman"/>
          <w:color w:val="auto"/>
          <w:highlight w:val="none"/>
        </w:rPr>
        <w:t>稳定，形成一定宽度</w:t>
      </w:r>
      <w:r>
        <w:rPr>
          <w:rFonts w:hint="eastAsia" w:ascii="Times New Roman" w:hAnsi="Times New Roman"/>
          <w:color w:val="auto"/>
          <w:highlight w:val="none"/>
        </w:rPr>
        <w:t>的滩涂</w:t>
      </w:r>
      <w:r>
        <w:rPr>
          <w:rFonts w:ascii="Times New Roman" w:hAnsi="Times New Roman"/>
          <w:color w:val="auto"/>
          <w:highlight w:val="none"/>
        </w:rPr>
        <w:t>。淤积型区域潮间带平均宽度原则上应大于</w:t>
      </w:r>
      <w:r>
        <w:rPr>
          <w:rFonts w:hint="eastAsia" w:ascii="Times New Roman" w:hAnsi="Times New Roman"/>
          <w:color w:val="auto"/>
          <w:highlight w:val="none"/>
          <w:lang w:val="en-US" w:eastAsia="zh-CN"/>
        </w:rPr>
        <w:t>15</w:t>
      </w:r>
      <w:r>
        <w:rPr>
          <w:rFonts w:ascii="Times New Roman" w:hAnsi="Times New Roman"/>
          <w:color w:val="auto"/>
          <w:highlight w:val="none"/>
        </w:rPr>
        <w:t xml:space="preserve"> m；</w:t>
      </w:r>
      <w:bookmarkStart w:id="146" w:name="OLE_LINK1"/>
      <w:r>
        <w:rPr>
          <w:rFonts w:ascii="Times New Roman" w:hAnsi="Times New Roman"/>
          <w:color w:val="auto"/>
          <w:highlight w:val="none"/>
        </w:rPr>
        <w:t>冲刷型和河口区域的潮间带宽度标准参照《海岸线调查统计技术规程》（自然资办函〔2023〕2128号）相关规定执行。</w:t>
      </w:r>
      <w:bookmarkEnd w:id="146"/>
    </w:p>
    <w:p w14:paraId="67B9EC35">
      <w:pPr>
        <w:pStyle w:val="21"/>
        <w:spacing w:before="156" w:after="156"/>
        <w:ind w:left="0"/>
        <w:rPr>
          <w:rFonts w:hint="default"/>
          <w:color w:val="auto"/>
          <w:highlight w:val="none"/>
          <w:lang w:val="en-US"/>
        </w:rPr>
      </w:pPr>
      <w:bookmarkStart w:id="147" w:name="_Toc192847300"/>
      <w:bookmarkStart w:id="148" w:name="_Toc192847353"/>
      <w:bookmarkStart w:id="149" w:name="_Toc9575"/>
      <w:bookmarkStart w:id="150" w:name="_Toc8289"/>
      <w:bookmarkStart w:id="151" w:name="_Toc5247"/>
      <w:r>
        <w:rPr>
          <w:rFonts w:hint="eastAsia"/>
          <w:color w:val="auto"/>
          <w:highlight w:val="none"/>
        </w:rPr>
        <w:t>潮间带</w:t>
      </w:r>
      <w:bookmarkEnd w:id="147"/>
      <w:bookmarkEnd w:id="148"/>
      <w:bookmarkEnd w:id="149"/>
      <w:r>
        <w:rPr>
          <w:rFonts w:hint="eastAsia"/>
          <w:color w:val="auto"/>
          <w:highlight w:val="none"/>
          <w:lang w:val="en-US" w:eastAsia="zh-CN"/>
        </w:rPr>
        <w:t>岸滩稳定状况</w:t>
      </w:r>
      <w:bookmarkEnd w:id="150"/>
      <w:bookmarkEnd w:id="151"/>
    </w:p>
    <w:p w14:paraId="267A971E">
      <w:pPr>
        <w:pStyle w:val="18"/>
        <w:rPr>
          <w:rFonts w:hint="eastAsia" w:ascii="Times New Roman" w:hAnsi="Times New Roman"/>
          <w:color w:val="auto"/>
          <w:highlight w:val="none"/>
          <w:shd w:val="clear" w:color="auto" w:fill="auto"/>
          <w:lang w:val="en-US" w:eastAsia="zh-CN"/>
        </w:rPr>
      </w:pPr>
      <w:r>
        <w:rPr>
          <w:rFonts w:hint="eastAsia" w:ascii="Times New Roman" w:hAnsi="Times New Roman"/>
          <w:color w:val="auto"/>
          <w:highlight w:val="none"/>
          <w:shd w:val="clear" w:color="auto" w:fill="auto"/>
          <w:lang w:val="en-US" w:eastAsia="zh-CN"/>
        </w:rPr>
        <w:t>通过消除或控制侵蚀胁迫因素，潮间带岸滩形态逐步恢复并保持稳定，滩面冲淤动态趋于平衡。岸滩稳定状况评判标准包括但不仅限于：</w:t>
      </w:r>
    </w:p>
    <w:p w14:paraId="439ADBE5">
      <w:pPr>
        <w:pStyle w:val="130"/>
        <w:bidi w:val="0"/>
        <w:rPr>
          <w:rFonts w:hint="eastAsia"/>
          <w:color w:val="auto"/>
          <w:highlight w:val="none"/>
        </w:rPr>
      </w:pPr>
      <w:r>
        <w:rPr>
          <w:rFonts w:hint="eastAsia"/>
          <w:color w:val="auto"/>
          <w:highlight w:val="none"/>
        </w:rPr>
        <w:t>岸滩形态保持稳定的持续时间不少于12个月；</w:t>
      </w:r>
    </w:p>
    <w:p w14:paraId="0C067B27">
      <w:pPr>
        <w:pStyle w:val="130"/>
        <w:bidi w:val="0"/>
        <w:rPr>
          <w:rFonts w:hint="eastAsia"/>
          <w:color w:val="auto"/>
          <w:highlight w:val="none"/>
        </w:rPr>
      </w:pPr>
      <w:r>
        <w:rPr>
          <w:rFonts w:hint="eastAsia" w:hAnsi="Times New Roman" w:eastAsia="宋体" w:cs="Times New Roman"/>
          <w:color w:val="auto"/>
          <w:highlight w:val="none"/>
          <w:lang w:val="en-US" w:eastAsia="zh-CN"/>
        </w:rPr>
        <w:t>滩面基本无侵蚀现象，且不含下列情形</w:t>
      </w:r>
      <w:r>
        <w:rPr>
          <w:rFonts w:hint="eastAsia"/>
          <w:color w:val="auto"/>
          <w:highlight w:val="none"/>
        </w:rPr>
        <w:t>：</w:t>
      </w:r>
    </w:p>
    <w:p w14:paraId="425EA53B">
      <w:pPr>
        <w:pStyle w:val="18"/>
        <w:ind w:firstLine="840" w:firstLineChars="400"/>
        <w:rPr>
          <w:rFonts w:hint="eastAsia" w:eastAsia="宋体" w:cs="Times New Roman"/>
          <w:color w:val="auto"/>
          <w:highlight w:val="none"/>
        </w:rPr>
      </w:pPr>
      <w:r>
        <w:rPr>
          <w:rFonts w:hint="eastAsia" w:eastAsia="宋体" w:cs="Times New Roman"/>
          <w:color w:val="auto"/>
          <w:highlight w:val="none"/>
        </w:rPr>
        <w:t>1）</w:t>
      </w:r>
      <w:r>
        <w:rPr>
          <w:rFonts w:hint="eastAsia" w:eastAsia="宋体" w:cs="Times New Roman"/>
          <w:color w:val="auto"/>
          <w:highlight w:val="none"/>
          <w:lang w:val="en-US" w:eastAsia="zh-CN"/>
        </w:rPr>
        <w:t>岸线</w:t>
      </w:r>
      <w:r>
        <w:rPr>
          <w:rFonts w:hint="eastAsia" w:eastAsia="宋体" w:cs="Times New Roman"/>
          <w:color w:val="auto"/>
          <w:highlight w:val="none"/>
        </w:rPr>
        <w:t>年际</w:t>
      </w:r>
      <w:r>
        <w:rPr>
          <w:rFonts w:hint="eastAsia" w:eastAsia="宋体" w:cs="Times New Roman"/>
          <w:color w:val="auto"/>
          <w:highlight w:val="none"/>
          <w:lang w:val="en-US" w:eastAsia="zh-CN"/>
        </w:rPr>
        <w:t>后退速率</w:t>
      </w:r>
      <w:r>
        <w:rPr>
          <w:rFonts w:hint="eastAsia" w:eastAsia="宋体" w:cs="Times New Roman"/>
          <w:color w:val="auto"/>
          <w:highlight w:val="none"/>
        </w:rPr>
        <w:t>超过 2 m；</w:t>
      </w:r>
    </w:p>
    <w:p w14:paraId="08258E0D">
      <w:pPr>
        <w:pStyle w:val="18"/>
        <w:ind w:firstLine="840" w:firstLineChars="400"/>
        <w:rPr>
          <w:rFonts w:hint="eastAsia" w:eastAsia="宋体" w:cs="Times New Roman"/>
          <w:color w:val="auto"/>
          <w:highlight w:val="none"/>
        </w:rPr>
      </w:pPr>
      <w:r>
        <w:rPr>
          <w:rFonts w:hint="eastAsia" w:eastAsia="宋体" w:cs="Times New Roman"/>
          <w:color w:val="auto"/>
          <w:highlight w:val="none"/>
        </w:rPr>
        <w:t>2）滩面出现连续长度超过 10 m 的冲刷沟槽；</w:t>
      </w:r>
    </w:p>
    <w:p w14:paraId="76159488">
      <w:pPr>
        <w:pStyle w:val="18"/>
        <w:ind w:firstLine="840" w:firstLineChars="400"/>
        <w:rPr>
          <w:rFonts w:hint="eastAsia" w:eastAsia="宋体" w:cs="Times New Roman"/>
          <w:color w:val="auto"/>
          <w:highlight w:val="none"/>
        </w:rPr>
      </w:pPr>
      <w:r>
        <w:rPr>
          <w:rFonts w:hint="eastAsia" w:eastAsia="宋体" w:cs="Times New Roman"/>
          <w:color w:val="auto"/>
          <w:highlight w:val="none"/>
        </w:rPr>
        <w:t>3）滩面高程年均下蚀速率超过 5 cm；</w:t>
      </w:r>
    </w:p>
    <w:p w14:paraId="3C367C8E">
      <w:pPr>
        <w:pStyle w:val="18"/>
        <w:ind w:firstLine="840" w:firstLineChars="400"/>
        <w:rPr>
          <w:rFonts w:hint="eastAsia" w:eastAsia="宋体" w:cs="Times New Roman"/>
          <w:color w:val="auto"/>
          <w:highlight w:val="none"/>
        </w:rPr>
      </w:pPr>
      <w:r>
        <w:rPr>
          <w:rFonts w:hint="eastAsia" w:eastAsia="宋体" w:cs="Times New Roman"/>
          <w:color w:val="auto"/>
          <w:highlight w:val="none"/>
        </w:rPr>
        <w:t>4）因侵蚀形成高度超过 30 cm 的陡坎。</w:t>
      </w:r>
    </w:p>
    <w:p w14:paraId="27737A39">
      <w:pPr>
        <w:pStyle w:val="21"/>
        <w:spacing w:before="156" w:after="156"/>
        <w:ind w:left="0"/>
        <w:rPr>
          <w:rFonts w:hint="eastAsia"/>
          <w:color w:val="auto"/>
          <w:highlight w:val="none"/>
        </w:rPr>
      </w:pPr>
      <w:bookmarkStart w:id="152" w:name="_Toc31413"/>
      <w:bookmarkStart w:id="153" w:name="_Toc16301"/>
      <w:r>
        <w:rPr>
          <w:rFonts w:hint="eastAsia"/>
          <w:color w:val="auto"/>
          <w:highlight w:val="none"/>
        </w:rPr>
        <w:t>潮间带</w:t>
      </w:r>
      <w:r>
        <w:rPr>
          <w:rFonts w:hint="eastAsia"/>
          <w:color w:val="auto"/>
          <w:highlight w:val="none"/>
          <w:lang w:val="en-US" w:eastAsia="zh-CN"/>
        </w:rPr>
        <w:t>滩面砂质情况</w:t>
      </w:r>
      <w:bookmarkEnd w:id="152"/>
      <w:bookmarkEnd w:id="153"/>
    </w:p>
    <w:p w14:paraId="7939734B">
      <w:pPr>
        <w:widowControl/>
        <w:autoSpaceDE w:val="0"/>
        <w:autoSpaceDN w:val="0"/>
        <w:ind w:firstLine="420" w:firstLineChars="200"/>
        <w:rPr>
          <w:rFonts w:hint="eastAsia"/>
          <w:color w:val="auto"/>
          <w:kern w:val="0"/>
          <w:sz w:val="21"/>
          <w:highlight w:val="none"/>
          <w:lang w:val="en-US" w:eastAsia="zh-CN"/>
        </w:rPr>
      </w:pPr>
      <w:r>
        <w:rPr>
          <w:rFonts w:hint="eastAsia"/>
          <w:color w:val="auto"/>
          <w:kern w:val="0"/>
          <w:sz w:val="21"/>
          <w:highlight w:val="none"/>
          <w:lang w:val="en-US" w:eastAsia="zh-CN"/>
        </w:rPr>
        <w:t>通过消除或控制泥化胁迫因素，潮间带滩面沉积物逐步恢复砂质特征，粒度组成趋于稳定。滩面砂质情况评判标准包括但不仅限于：</w:t>
      </w:r>
    </w:p>
    <w:p w14:paraId="172666F3">
      <w:pPr>
        <w:pStyle w:val="48"/>
        <w:numPr>
          <w:ilvl w:val="0"/>
          <w:numId w:val="37"/>
        </w:numPr>
        <w:bidi w:val="0"/>
        <w:ind w:left="851" w:leftChars="0" w:hanging="426" w:firstLineChars="0"/>
        <w:rPr>
          <w:rFonts w:hint="eastAsia"/>
          <w:lang w:val="en-US" w:eastAsia="zh-CN"/>
        </w:rPr>
      </w:pPr>
      <w:r>
        <w:rPr>
          <w:rFonts w:hint="eastAsia"/>
          <w:lang w:val="en-US" w:eastAsia="zh-CN"/>
        </w:rPr>
        <w:t>沉积物类型以细砂为主，中值粒径范围为0.063 mm～0.25 mm；</w:t>
      </w:r>
    </w:p>
    <w:p w14:paraId="4C89A0A0">
      <w:pPr>
        <w:pStyle w:val="48"/>
        <w:numPr>
          <w:ilvl w:val="0"/>
          <w:numId w:val="37"/>
        </w:numPr>
        <w:bidi w:val="0"/>
        <w:ind w:left="851" w:leftChars="0" w:hanging="426" w:firstLineChars="0"/>
        <w:rPr>
          <w:rFonts w:hint="eastAsia"/>
          <w:lang w:val="en-US" w:eastAsia="zh-CN"/>
        </w:rPr>
      </w:pPr>
      <w:r>
        <w:rPr>
          <w:rFonts w:hint="eastAsia"/>
          <w:lang w:val="en-US" w:eastAsia="zh-CN"/>
        </w:rPr>
        <w:t>砂含量宜大于75%，黏土含量宜小于10%；</w:t>
      </w:r>
    </w:p>
    <w:p w14:paraId="6D0A39BA">
      <w:pPr>
        <w:pStyle w:val="48"/>
        <w:numPr>
          <w:ilvl w:val="0"/>
          <w:numId w:val="37"/>
        </w:numPr>
        <w:bidi w:val="0"/>
        <w:ind w:left="851" w:leftChars="0" w:hanging="426" w:firstLineChars="0"/>
        <w:rPr>
          <w:rFonts w:hint="eastAsia"/>
          <w:lang w:val="en-US" w:eastAsia="zh-CN"/>
        </w:rPr>
      </w:pPr>
      <w:r>
        <w:rPr>
          <w:rFonts w:hint="eastAsia"/>
          <w:lang w:val="en-US" w:eastAsia="zh-CN"/>
        </w:rPr>
        <w:t>滩面应基本无泥化现象，且不应出现下列情形：</w:t>
      </w:r>
    </w:p>
    <w:p w14:paraId="4E891A87">
      <w:pPr>
        <w:pStyle w:val="49"/>
        <w:bidi w:val="0"/>
        <w:ind w:left="1276" w:leftChars="0" w:hanging="425" w:firstLineChars="0"/>
        <w:rPr>
          <w:rFonts w:hint="eastAsia"/>
          <w:lang w:val="en-US" w:eastAsia="zh-CN"/>
        </w:rPr>
      </w:pPr>
      <w:r>
        <w:rPr>
          <w:rFonts w:hint="eastAsia"/>
          <w:lang w:val="en-US" w:eastAsia="zh-CN"/>
        </w:rPr>
        <w:t>表层10 cm内沉积物出现肉眼可见的淤泥质夹层；</w:t>
      </w:r>
    </w:p>
    <w:p w14:paraId="73F8C1A8">
      <w:pPr>
        <w:pStyle w:val="49"/>
        <w:bidi w:val="0"/>
        <w:ind w:left="1276" w:leftChars="0" w:hanging="425" w:firstLineChars="0"/>
        <w:rPr>
          <w:rFonts w:hint="eastAsia"/>
          <w:lang w:val="en-US" w:eastAsia="zh-CN"/>
        </w:rPr>
      </w:pPr>
      <w:r>
        <w:rPr>
          <w:rFonts w:hint="eastAsia"/>
          <w:lang w:val="en-US" w:eastAsia="zh-CN"/>
        </w:rPr>
        <w:t>滩面因泥化形成板结层，厚度超过2 cm；</w:t>
      </w:r>
    </w:p>
    <w:p w14:paraId="32D23C97">
      <w:pPr>
        <w:pStyle w:val="49"/>
        <w:bidi w:val="0"/>
        <w:ind w:left="1276" w:leftChars="0" w:hanging="425" w:firstLineChars="0"/>
        <w:rPr>
          <w:rFonts w:hint="eastAsia"/>
          <w:lang w:val="en-US" w:eastAsia="zh-CN"/>
        </w:rPr>
      </w:pPr>
      <w:r>
        <w:rPr>
          <w:rFonts w:hint="eastAsia"/>
          <w:lang w:val="en-US" w:eastAsia="zh-CN"/>
        </w:rPr>
        <w:t>沉积物类型由砂质演变为粉砂质砂或更细类型。</w:t>
      </w:r>
    </w:p>
    <w:p w14:paraId="1E736546">
      <w:pPr>
        <w:pStyle w:val="19"/>
        <w:spacing w:before="312" w:after="312"/>
        <w:rPr>
          <w:rFonts w:hint="eastAsia"/>
          <w:color w:val="auto"/>
          <w:highlight w:val="none"/>
        </w:rPr>
      </w:pPr>
      <w:bookmarkStart w:id="154" w:name="_Toc10766"/>
      <w:bookmarkStart w:id="155" w:name="_Toc8172"/>
      <w:bookmarkStart w:id="156" w:name="_Toc23238"/>
      <w:r>
        <w:rPr>
          <w:rFonts w:hint="eastAsia"/>
          <w:color w:val="auto"/>
          <w:highlight w:val="none"/>
        </w:rPr>
        <w:t>技术方案制定</w:t>
      </w:r>
      <w:bookmarkEnd w:id="154"/>
      <w:bookmarkEnd w:id="155"/>
      <w:bookmarkEnd w:id="156"/>
    </w:p>
    <w:p w14:paraId="612286FE">
      <w:pPr>
        <w:pStyle w:val="20"/>
        <w:ind w:firstLine="420"/>
        <w:rPr>
          <w:rFonts w:hint="eastAsia"/>
          <w:color w:val="auto"/>
          <w:highlight w:val="none"/>
        </w:rPr>
      </w:pPr>
      <w:r>
        <w:rPr>
          <w:rFonts w:hint="eastAsia"/>
          <w:color w:val="auto"/>
          <w:highlight w:val="none"/>
        </w:rPr>
        <w:t>认定工作技术方案制定按照</w:t>
      </w:r>
      <w:r>
        <w:rPr>
          <w:rFonts w:hint="eastAsia"/>
          <w:highlight w:val="none"/>
        </w:rPr>
        <w:t>T/</w:t>
      </w:r>
      <w:r>
        <w:rPr>
          <w:rFonts w:hint="eastAsia"/>
          <w:color w:val="auto"/>
          <w:lang w:val="en-US" w:eastAsia="zh-CN"/>
        </w:rPr>
        <w:t>GXAS</w:t>
      </w:r>
      <w:r>
        <w:rPr>
          <w:rFonts w:hint="eastAsia"/>
          <w:highlight w:val="none"/>
        </w:rPr>
        <w:t xml:space="preserve"> ××</w:t>
      </w:r>
      <w:r>
        <w:rPr>
          <w:rFonts w:hint="eastAsia"/>
          <w:highlight w:val="none"/>
          <w:lang w:val="en-US" w:eastAsia="zh-CN"/>
        </w:rPr>
        <w:t>.1</w:t>
      </w:r>
      <w:r>
        <w:rPr>
          <w:rFonts w:hint="eastAsia"/>
          <w:highlight w:val="none"/>
        </w:rPr>
        <w:t>-××</w:t>
      </w:r>
      <w:r>
        <w:rPr>
          <w:rFonts w:hint="eastAsia"/>
          <w:color w:val="auto"/>
          <w:highlight w:val="none"/>
        </w:rPr>
        <w:t>中第</w:t>
      </w:r>
      <w:r>
        <w:rPr>
          <w:rFonts w:hint="eastAsia"/>
          <w:color w:val="auto"/>
          <w:highlight w:val="none"/>
          <w:lang w:val="en-US" w:eastAsia="zh-CN"/>
        </w:rPr>
        <w:t>7</w:t>
      </w:r>
      <w:r>
        <w:rPr>
          <w:rFonts w:hint="eastAsia"/>
          <w:color w:val="auto"/>
          <w:highlight w:val="none"/>
        </w:rPr>
        <w:t>章规定执行。</w:t>
      </w:r>
    </w:p>
    <w:p w14:paraId="4F8FDB0D">
      <w:pPr>
        <w:pStyle w:val="19"/>
        <w:spacing w:before="312" w:after="312"/>
        <w:rPr>
          <w:color w:val="auto"/>
          <w:highlight w:val="none"/>
        </w:rPr>
      </w:pPr>
      <w:bookmarkStart w:id="157" w:name="_Toc30082"/>
      <w:bookmarkStart w:id="158" w:name="_Toc9798"/>
      <w:bookmarkStart w:id="159" w:name="_Toc20595"/>
      <w:bookmarkStart w:id="160" w:name="_Toc28741"/>
      <w:bookmarkStart w:id="161" w:name="_Toc192846442"/>
      <w:bookmarkStart w:id="162" w:name="_Toc192845351"/>
      <w:bookmarkStart w:id="163" w:name="_Toc192845310"/>
      <w:bookmarkStart w:id="164" w:name="_Toc192847302"/>
      <w:bookmarkStart w:id="165" w:name="_Toc192846377"/>
      <w:bookmarkStart w:id="166" w:name="_Toc16580"/>
      <w:bookmarkStart w:id="167" w:name="_Toc9544"/>
      <w:bookmarkStart w:id="168" w:name="_Toc192847355"/>
      <w:bookmarkStart w:id="169" w:name="_Toc192846443"/>
      <w:bookmarkStart w:id="170" w:name="_Toc192847303"/>
      <w:bookmarkStart w:id="171" w:name="_Toc192845352"/>
      <w:bookmarkStart w:id="172" w:name="_Toc192845311"/>
      <w:bookmarkStart w:id="173" w:name="_Toc192846378"/>
      <w:bookmarkStart w:id="174" w:name="_Toc11850"/>
      <w:bookmarkStart w:id="175" w:name="_Toc192847356"/>
      <w:r>
        <w:rPr>
          <w:rFonts w:hint="eastAsia"/>
          <w:color w:val="auto"/>
          <w:highlight w:val="none"/>
        </w:rPr>
        <w:t>技术方案实施</w:t>
      </w:r>
      <w:bookmarkEnd w:id="157"/>
      <w:bookmarkEnd w:id="158"/>
      <w:bookmarkEnd w:id="159"/>
    </w:p>
    <w:p w14:paraId="409157FE">
      <w:pPr>
        <w:pStyle w:val="21"/>
        <w:spacing w:before="156" w:after="156"/>
        <w:ind w:left="0"/>
        <w:rPr>
          <w:rFonts w:hint="eastAsia"/>
          <w:color w:val="auto"/>
          <w:highlight w:val="none"/>
        </w:rPr>
      </w:pPr>
      <w:bookmarkStart w:id="176" w:name="_Toc30885"/>
      <w:bookmarkStart w:id="177" w:name="_Toc12706"/>
      <w:r>
        <w:rPr>
          <w:rFonts w:hint="eastAsia"/>
          <w:color w:val="auto"/>
          <w:highlight w:val="none"/>
        </w:rPr>
        <w:t>调查范围</w:t>
      </w:r>
      <w:bookmarkEnd w:id="160"/>
      <w:bookmarkEnd w:id="176"/>
      <w:bookmarkEnd w:id="177"/>
    </w:p>
    <w:p w14:paraId="6174791E">
      <w:pPr>
        <w:pStyle w:val="76"/>
        <w:numPr>
          <w:ilvl w:val="0"/>
          <w:numId w:val="0"/>
        </w:numPr>
        <w:ind w:firstLine="420" w:firstLineChars="200"/>
        <w:rPr>
          <w:rFonts w:hint="eastAsia"/>
          <w:color w:val="auto"/>
          <w:highlight w:val="none"/>
        </w:rPr>
      </w:pPr>
      <w:bookmarkStart w:id="178" w:name="_Toc192845313"/>
      <w:bookmarkStart w:id="179" w:name="_Toc192847357"/>
      <w:bookmarkStart w:id="180" w:name="_Toc192845353"/>
      <w:bookmarkStart w:id="181" w:name="_Toc4472"/>
      <w:bookmarkStart w:id="182" w:name="_Toc192847304"/>
      <w:bookmarkStart w:id="183" w:name="_Toc192846444"/>
      <w:bookmarkStart w:id="184" w:name="_Toc192845312"/>
      <w:bookmarkStart w:id="185" w:name="_Toc192846379"/>
      <w:r>
        <w:rPr>
          <w:rFonts w:hint="eastAsia"/>
          <w:color w:val="auto"/>
          <w:highlight w:val="none"/>
        </w:rPr>
        <w:t>调查范围按照HY/T 0460.</w:t>
      </w:r>
      <w:r>
        <w:rPr>
          <w:rFonts w:hint="eastAsia"/>
          <w:color w:val="auto"/>
          <w:highlight w:val="none"/>
          <w:lang w:val="en-US" w:eastAsia="zh-CN"/>
        </w:rPr>
        <w:t>8</w:t>
      </w:r>
      <w:r>
        <w:rPr>
          <w:rFonts w:hint="eastAsia"/>
          <w:color w:val="auto"/>
          <w:highlight w:val="none"/>
        </w:rPr>
        <w:t>-2024中</w:t>
      </w:r>
      <w:r>
        <w:rPr>
          <w:rFonts w:hint="eastAsia"/>
          <w:color w:val="auto"/>
          <w:highlight w:val="none"/>
          <w:lang w:val="en-US" w:eastAsia="zh-CN"/>
        </w:rPr>
        <w:t>5</w:t>
      </w:r>
      <w:r>
        <w:rPr>
          <w:color w:val="auto"/>
          <w:highlight w:val="none"/>
        </w:rPr>
        <w:t>.1</w:t>
      </w:r>
      <w:r>
        <w:rPr>
          <w:rFonts w:hint="eastAsia"/>
          <w:color w:val="auto"/>
          <w:highlight w:val="none"/>
        </w:rPr>
        <w:t>规定执行。</w:t>
      </w:r>
      <w:bookmarkEnd w:id="178"/>
    </w:p>
    <w:bookmarkEnd w:id="179"/>
    <w:bookmarkEnd w:id="180"/>
    <w:bookmarkEnd w:id="181"/>
    <w:bookmarkEnd w:id="182"/>
    <w:bookmarkEnd w:id="183"/>
    <w:bookmarkEnd w:id="184"/>
    <w:bookmarkEnd w:id="185"/>
    <w:p w14:paraId="3A4D2421">
      <w:pPr>
        <w:pStyle w:val="21"/>
        <w:spacing w:before="156" w:after="156"/>
        <w:ind w:left="0"/>
        <w:rPr>
          <w:rFonts w:hint="eastAsia"/>
          <w:color w:val="auto"/>
          <w:highlight w:val="none"/>
        </w:rPr>
      </w:pPr>
      <w:bookmarkStart w:id="186" w:name="_Toc311"/>
      <w:bookmarkStart w:id="187" w:name="_Toc31724"/>
      <w:bookmarkStart w:id="188" w:name="_Toc192846445"/>
      <w:bookmarkStart w:id="189" w:name="_Toc192846380"/>
      <w:bookmarkStart w:id="190" w:name="_Toc192845316"/>
      <w:bookmarkStart w:id="191" w:name="_Toc192847305"/>
      <w:bookmarkStart w:id="192" w:name="_Toc192845354"/>
      <w:bookmarkStart w:id="193" w:name="_Toc6042"/>
      <w:bookmarkStart w:id="194" w:name="_Toc192847358"/>
      <w:r>
        <w:rPr>
          <w:rFonts w:hint="eastAsia"/>
          <w:color w:val="auto"/>
          <w:highlight w:val="none"/>
        </w:rPr>
        <w:t>调查内容与指标</w:t>
      </w:r>
      <w:bookmarkEnd w:id="186"/>
      <w:bookmarkEnd w:id="187"/>
    </w:p>
    <w:p w14:paraId="30B735E8">
      <w:pPr>
        <w:pStyle w:val="20"/>
        <w:ind w:firstLine="420"/>
        <w:rPr>
          <w:color w:val="auto"/>
          <w:highlight w:val="none"/>
        </w:rPr>
      </w:pPr>
      <w:r>
        <w:rPr>
          <w:rFonts w:hint="eastAsia"/>
          <w:color w:val="auto"/>
          <w:highlight w:val="none"/>
        </w:rPr>
        <w:t>依据生态恢复的</w:t>
      </w:r>
      <w:r>
        <w:rPr>
          <w:rFonts w:hint="eastAsia"/>
          <w:color w:val="auto"/>
          <w:highlight w:val="none"/>
          <w:lang w:val="en-US" w:eastAsia="zh-CN"/>
        </w:rPr>
        <w:t>砂</w:t>
      </w:r>
      <w:r>
        <w:rPr>
          <w:rFonts w:hint="eastAsia"/>
          <w:color w:val="auto"/>
          <w:highlight w:val="none"/>
        </w:rPr>
        <w:t>质岸线的各项认定评判标准，明确各项调查内容，建立调查指标体系，见表1。</w:t>
      </w:r>
    </w:p>
    <w:p w14:paraId="598FEB9B">
      <w:pPr>
        <w:pStyle w:val="129"/>
        <w:keepNext/>
        <w:spacing w:before="156" w:after="156"/>
        <w:rPr>
          <w:color w:val="auto"/>
          <w:highlight w:val="none"/>
        </w:rPr>
      </w:pPr>
      <w:r>
        <w:rPr>
          <w:rFonts w:hint="eastAsia"/>
          <w:color w:val="auto"/>
          <w:highlight w:val="none"/>
        </w:rPr>
        <w:t>生态恢复的</w:t>
      </w:r>
      <w:r>
        <w:rPr>
          <w:rFonts w:hint="eastAsia"/>
          <w:color w:val="auto"/>
          <w:highlight w:val="none"/>
          <w:lang w:val="en-US" w:eastAsia="zh-CN"/>
        </w:rPr>
        <w:t>砂</w:t>
      </w:r>
      <w:r>
        <w:rPr>
          <w:rFonts w:hint="eastAsia"/>
          <w:color w:val="auto"/>
          <w:highlight w:val="none"/>
        </w:rPr>
        <w:t>质岸线认定调查内容及指标</w:t>
      </w:r>
    </w:p>
    <w:tbl>
      <w:tblPr>
        <w:tblStyle w:val="13"/>
        <w:tblW w:w="9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2055"/>
        <w:gridCol w:w="6698"/>
      </w:tblGrid>
      <w:tr w14:paraId="46F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6" w:type="dxa"/>
            <w:tcBorders>
              <w:top w:val="single" w:color="auto" w:sz="4" w:space="0"/>
              <w:left w:val="single" w:color="auto" w:sz="8" w:space="0"/>
            </w:tcBorders>
            <w:noWrap w:val="0"/>
            <w:vAlign w:val="top"/>
          </w:tcPr>
          <w:p w14:paraId="6E5F5EF0">
            <w:pPr>
              <w:pStyle w:val="36"/>
              <w:jc w:val="center"/>
              <w:rPr>
                <w:rFonts w:ascii="Times New Roman" w:hAnsi="Times New Roman"/>
                <w:color w:val="auto"/>
                <w:highlight w:val="none"/>
              </w:rPr>
            </w:pPr>
            <w:r>
              <w:rPr>
                <w:rFonts w:ascii="Times New Roman" w:hAnsi="Times New Roman"/>
                <w:color w:val="auto"/>
                <w:highlight w:val="none"/>
              </w:rPr>
              <w:t>序号</w:t>
            </w:r>
          </w:p>
        </w:tc>
        <w:tc>
          <w:tcPr>
            <w:tcW w:w="2055" w:type="dxa"/>
            <w:tcBorders>
              <w:top w:val="single" w:color="auto" w:sz="4" w:space="0"/>
              <w:left w:val="single" w:color="auto" w:sz="8" w:space="0"/>
            </w:tcBorders>
            <w:noWrap w:val="0"/>
            <w:vAlign w:val="center"/>
          </w:tcPr>
          <w:p w14:paraId="6369FC26">
            <w:pPr>
              <w:pStyle w:val="36"/>
              <w:jc w:val="center"/>
              <w:rPr>
                <w:rFonts w:ascii="Times New Roman" w:hAnsi="Times New Roman"/>
                <w:color w:val="auto"/>
                <w:highlight w:val="none"/>
              </w:rPr>
            </w:pPr>
            <w:r>
              <w:rPr>
                <w:rFonts w:ascii="Times New Roman" w:hAnsi="Times New Roman"/>
                <w:color w:val="auto"/>
                <w:highlight w:val="none"/>
              </w:rPr>
              <w:t>调查内容</w:t>
            </w:r>
          </w:p>
        </w:tc>
        <w:tc>
          <w:tcPr>
            <w:tcW w:w="6698" w:type="dxa"/>
            <w:tcBorders>
              <w:top w:val="single" w:color="auto" w:sz="4" w:space="0"/>
            </w:tcBorders>
            <w:noWrap w:val="0"/>
            <w:vAlign w:val="center"/>
          </w:tcPr>
          <w:p w14:paraId="23871490">
            <w:pPr>
              <w:pStyle w:val="36"/>
              <w:jc w:val="center"/>
              <w:rPr>
                <w:rFonts w:ascii="Times New Roman" w:hAnsi="Times New Roman"/>
                <w:color w:val="auto"/>
                <w:highlight w:val="none"/>
              </w:rPr>
            </w:pPr>
            <w:r>
              <w:rPr>
                <w:rFonts w:ascii="Times New Roman" w:hAnsi="Times New Roman"/>
                <w:color w:val="auto"/>
                <w:highlight w:val="none"/>
              </w:rPr>
              <w:t>调查指标</w:t>
            </w:r>
          </w:p>
        </w:tc>
      </w:tr>
      <w:tr w14:paraId="7A50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bottom w:val="single" w:color="auto" w:sz="4" w:space="0"/>
            </w:tcBorders>
            <w:noWrap w:val="0"/>
            <w:vAlign w:val="center"/>
          </w:tcPr>
          <w:p w14:paraId="3AE6D231">
            <w:pPr>
              <w:pStyle w:val="36"/>
              <w:jc w:val="center"/>
              <w:rPr>
                <w:rFonts w:ascii="Times New Roman" w:hAnsi="Times New Roman"/>
                <w:color w:val="auto"/>
                <w:highlight w:val="none"/>
              </w:rPr>
            </w:pPr>
            <w:r>
              <w:rPr>
                <w:rFonts w:ascii="Times New Roman" w:hAnsi="Times New Roman"/>
                <w:color w:val="auto"/>
                <w:highlight w:val="none"/>
              </w:rPr>
              <w:t>1</w:t>
            </w:r>
          </w:p>
        </w:tc>
        <w:tc>
          <w:tcPr>
            <w:tcW w:w="2055" w:type="dxa"/>
            <w:tcBorders>
              <w:left w:val="single" w:color="auto" w:sz="8" w:space="0"/>
              <w:bottom w:val="single" w:color="auto" w:sz="4" w:space="0"/>
            </w:tcBorders>
            <w:noWrap w:val="0"/>
            <w:vAlign w:val="center"/>
          </w:tcPr>
          <w:p w14:paraId="1565705C">
            <w:pPr>
              <w:pStyle w:val="36"/>
              <w:rPr>
                <w:rFonts w:ascii="Times New Roman" w:hAnsi="Times New Roman"/>
                <w:color w:val="auto"/>
                <w:highlight w:val="none"/>
              </w:rPr>
            </w:pPr>
            <w:r>
              <w:rPr>
                <w:rFonts w:ascii="Times New Roman" w:hAnsi="Times New Roman"/>
                <w:color w:val="auto"/>
                <w:highlight w:val="none"/>
              </w:rPr>
              <w:t>岸线形态恢复有效性</w:t>
            </w:r>
          </w:p>
        </w:tc>
        <w:tc>
          <w:tcPr>
            <w:tcW w:w="6698" w:type="dxa"/>
            <w:tcBorders>
              <w:bottom w:val="single" w:color="auto" w:sz="4" w:space="0"/>
            </w:tcBorders>
            <w:noWrap w:val="0"/>
            <w:vAlign w:val="center"/>
          </w:tcPr>
          <w:p w14:paraId="7426BC33">
            <w:pPr>
              <w:pStyle w:val="36"/>
              <w:rPr>
                <w:rFonts w:ascii="Times New Roman" w:hAnsi="Times New Roman"/>
                <w:color w:val="auto"/>
                <w:highlight w:val="none"/>
              </w:rPr>
            </w:pPr>
            <w:r>
              <w:rPr>
                <w:rFonts w:ascii="Times New Roman" w:hAnsi="Times New Roman"/>
                <w:color w:val="auto"/>
                <w:highlight w:val="none"/>
              </w:rPr>
              <w:t>现状</w:t>
            </w:r>
            <w:r>
              <w:rPr>
                <w:rFonts w:hint="eastAsia" w:ascii="Times New Roman" w:hAnsi="Times New Roman"/>
                <w:color w:val="auto"/>
                <w:highlight w:val="none"/>
              </w:rPr>
              <w:t>与原状</w:t>
            </w:r>
            <w:r>
              <w:rPr>
                <w:rFonts w:ascii="Times New Roman" w:hAnsi="Times New Roman"/>
                <w:color w:val="auto"/>
                <w:highlight w:val="none"/>
              </w:rPr>
              <w:t>岸线</w:t>
            </w:r>
            <w:r>
              <w:rPr>
                <w:rFonts w:hint="eastAsia" w:ascii="Times New Roman" w:hAnsi="Times New Roman"/>
                <w:color w:val="auto"/>
                <w:highlight w:val="none"/>
              </w:rPr>
              <w:t>走向重合度，沉积物类型，人工构筑物类型及长度，空间利用活动方式及规模，建筑垃圾、海漂垃圾类型及规模，外来入侵植物种类及规模</w:t>
            </w:r>
          </w:p>
        </w:tc>
      </w:tr>
      <w:tr w14:paraId="2E1C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63FFC7D2">
            <w:pPr>
              <w:pStyle w:val="36"/>
              <w:jc w:val="center"/>
              <w:rPr>
                <w:rFonts w:ascii="Times New Roman" w:hAnsi="Times New Roman"/>
                <w:color w:val="auto"/>
                <w:highlight w:val="none"/>
              </w:rPr>
            </w:pPr>
            <w:r>
              <w:rPr>
                <w:rFonts w:ascii="Times New Roman" w:hAnsi="Times New Roman"/>
                <w:color w:val="auto"/>
                <w:highlight w:val="none"/>
              </w:rPr>
              <w:t>2</w:t>
            </w:r>
          </w:p>
        </w:tc>
        <w:tc>
          <w:tcPr>
            <w:tcW w:w="2055" w:type="dxa"/>
            <w:tcBorders>
              <w:left w:val="single" w:color="auto" w:sz="8" w:space="0"/>
            </w:tcBorders>
            <w:noWrap w:val="0"/>
            <w:vAlign w:val="center"/>
          </w:tcPr>
          <w:p w14:paraId="44A8BE1B">
            <w:pPr>
              <w:pStyle w:val="36"/>
              <w:rPr>
                <w:rFonts w:ascii="Times New Roman" w:hAnsi="Times New Roman"/>
                <w:color w:val="auto"/>
                <w:highlight w:val="none"/>
              </w:rPr>
            </w:pPr>
            <w:r>
              <w:rPr>
                <w:rFonts w:ascii="Times New Roman" w:hAnsi="Times New Roman"/>
                <w:color w:val="auto"/>
                <w:highlight w:val="none"/>
              </w:rPr>
              <w:t>修复措施执行符合性</w:t>
            </w:r>
          </w:p>
        </w:tc>
        <w:tc>
          <w:tcPr>
            <w:tcW w:w="6698" w:type="dxa"/>
            <w:noWrap w:val="0"/>
            <w:vAlign w:val="center"/>
          </w:tcPr>
          <w:p w14:paraId="35980059">
            <w:pPr>
              <w:pStyle w:val="36"/>
              <w:rPr>
                <w:rFonts w:ascii="Times New Roman" w:hAnsi="Times New Roman"/>
                <w:color w:val="auto"/>
                <w:highlight w:val="none"/>
              </w:rPr>
            </w:pPr>
            <w:r>
              <w:rPr>
                <w:rFonts w:hint="eastAsia" w:ascii="Times New Roman" w:hAnsi="Times New Roman"/>
                <w:color w:val="auto"/>
                <w:highlight w:val="none"/>
              </w:rPr>
              <w:t>认定岸线与修复区的相对位置，实施内容完成度，验收合格率，</w:t>
            </w:r>
            <w:r>
              <w:rPr>
                <w:rFonts w:ascii="Times New Roman" w:hAnsi="Times New Roman"/>
                <w:color w:val="auto"/>
                <w:highlight w:val="none"/>
              </w:rPr>
              <w:t>绩效目标</w:t>
            </w:r>
            <w:r>
              <w:rPr>
                <w:rFonts w:hint="eastAsia" w:ascii="Times New Roman" w:hAnsi="Times New Roman"/>
                <w:color w:val="auto"/>
                <w:highlight w:val="none"/>
              </w:rPr>
              <w:t>完成率</w:t>
            </w:r>
          </w:p>
        </w:tc>
      </w:tr>
      <w:tr w14:paraId="7A29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413F1C7D">
            <w:pPr>
              <w:pStyle w:val="36"/>
              <w:jc w:val="center"/>
              <w:rPr>
                <w:rFonts w:ascii="Times New Roman" w:hAnsi="Times New Roman"/>
                <w:color w:val="auto"/>
                <w:highlight w:val="none"/>
              </w:rPr>
            </w:pPr>
            <w:r>
              <w:rPr>
                <w:rFonts w:ascii="Times New Roman" w:hAnsi="Times New Roman"/>
                <w:color w:val="auto"/>
                <w:highlight w:val="none"/>
              </w:rPr>
              <w:t>3</w:t>
            </w:r>
          </w:p>
        </w:tc>
        <w:tc>
          <w:tcPr>
            <w:tcW w:w="2055" w:type="dxa"/>
            <w:tcBorders>
              <w:left w:val="single" w:color="auto" w:sz="8" w:space="0"/>
            </w:tcBorders>
            <w:noWrap w:val="0"/>
            <w:vAlign w:val="center"/>
          </w:tcPr>
          <w:p w14:paraId="22E02967">
            <w:pPr>
              <w:pStyle w:val="36"/>
              <w:rPr>
                <w:rFonts w:ascii="Times New Roman" w:hAnsi="Times New Roman"/>
                <w:color w:val="auto"/>
                <w:highlight w:val="none"/>
              </w:rPr>
            </w:pPr>
            <w:r>
              <w:rPr>
                <w:rFonts w:ascii="Times New Roman" w:hAnsi="Times New Roman"/>
                <w:color w:val="auto"/>
                <w:highlight w:val="none"/>
              </w:rPr>
              <w:t>潮间带发育完整</w:t>
            </w:r>
            <w:r>
              <w:rPr>
                <w:rFonts w:hint="eastAsia" w:ascii="Times New Roman" w:hAnsi="Times New Roman"/>
                <w:color w:val="auto"/>
                <w:highlight w:val="none"/>
              </w:rPr>
              <w:t>程度</w:t>
            </w:r>
          </w:p>
        </w:tc>
        <w:tc>
          <w:tcPr>
            <w:tcW w:w="6698" w:type="dxa"/>
            <w:noWrap w:val="0"/>
            <w:vAlign w:val="center"/>
          </w:tcPr>
          <w:p w14:paraId="1E864169">
            <w:pPr>
              <w:pStyle w:val="36"/>
              <w:rPr>
                <w:rFonts w:ascii="Times New Roman" w:hAnsi="Times New Roman"/>
                <w:color w:val="auto"/>
                <w:highlight w:val="none"/>
              </w:rPr>
            </w:pPr>
            <w:r>
              <w:rPr>
                <w:rFonts w:hint="eastAsia"/>
                <w:color w:val="auto"/>
                <w:highlight w:val="none"/>
              </w:rPr>
              <w:t>现状高、中、低潮带的位置及面积</w:t>
            </w:r>
            <w:r>
              <w:rPr>
                <w:rFonts w:ascii="Times New Roman" w:hAnsi="Times New Roman"/>
                <w:color w:val="auto"/>
                <w:highlight w:val="none"/>
              </w:rPr>
              <w:t>，大潮期潮水</w:t>
            </w:r>
            <w:r>
              <w:rPr>
                <w:rFonts w:hint="eastAsia" w:ascii="Times New Roman" w:hAnsi="Times New Roman"/>
                <w:color w:val="auto"/>
                <w:highlight w:val="none"/>
              </w:rPr>
              <w:t>水位线与</w:t>
            </w:r>
            <w:r>
              <w:rPr>
                <w:rFonts w:ascii="Times New Roman" w:hAnsi="Times New Roman"/>
                <w:color w:val="auto"/>
                <w:highlight w:val="none"/>
              </w:rPr>
              <w:t>海岸线</w:t>
            </w:r>
            <w:r>
              <w:rPr>
                <w:rFonts w:hint="eastAsia" w:ascii="Times New Roman" w:hAnsi="Times New Roman"/>
                <w:color w:val="auto"/>
                <w:highlight w:val="none"/>
              </w:rPr>
              <w:t>的相对</w:t>
            </w:r>
            <w:r>
              <w:rPr>
                <w:rFonts w:ascii="Times New Roman" w:hAnsi="Times New Roman"/>
                <w:color w:val="auto"/>
                <w:highlight w:val="none"/>
              </w:rPr>
              <w:t>位置</w:t>
            </w:r>
            <w:r>
              <w:rPr>
                <w:rFonts w:hint="eastAsia" w:ascii="Times New Roman" w:hAnsi="Times New Roman"/>
                <w:color w:val="auto"/>
                <w:highlight w:val="none"/>
              </w:rPr>
              <w:t>，滩涂坡度，潮沟长度</w:t>
            </w:r>
          </w:p>
        </w:tc>
      </w:tr>
      <w:tr w14:paraId="1B3A9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0368174F">
            <w:pPr>
              <w:pStyle w:val="36"/>
              <w:jc w:val="center"/>
              <w:rPr>
                <w:rFonts w:ascii="Times New Roman" w:hAnsi="Times New Roman"/>
                <w:color w:val="auto"/>
                <w:highlight w:val="none"/>
              </w:rPr>
            </w:pPr>
            <w:r>
              <w:rPr>
                <w:rFonts w:ascii="Times New Roman" w:hAnsi="Times New Roman"/>
                <w:color w:val="auto"/>
                <w:highlight w:val="none"/>
              </w:rPr>
              <w:t>4</w:t>
            </w:r>
          </w:p>
        </w:tc>
        <w:tc>
          <w:tcPr>
            <w:tcW w:w="2055" w:type="dxa"/>
            <w:tcBorders>
              <w:left w:val="single" w:color="auto" w:sz="8" w:space="0"/>
            </w:tcBorders>
            <w:noWrap w:val="0"/>
            <w:vAlign w:val="center"/>
          </w:tcPr>
          <w:p w14:paraId="68EC44CC">
            <w:pPr>
              <w:pStyle w:val="36"/>
              <w:rPr>
                <w:rFonts w:ascii="Times New Roman" w:hAnsi="Times New Roman"/>
                <w:color w:val="auto"/>
                <w:highlight w:val="none"/>
              </w:rPr>
            </w:pPr>
            <w:r>
              <w:rPr>
                <w:rFonts w:ascii="Times New Roman" w:hAnsi="Times New Roman"/>
                <w:color w:val="auto"/>
                <w:highlight w:val="none"/>
              </w:rPr>
              <w:t>潮间带平均宽度要求</w:t>
            </w:r>
          </w:p>
        </w:tc>
        <w:tc>
          <w:tcPr>
            <w:tcW w:w="6698" w:type="dxa"/>
            <w:noWrap w:val="0"/>
            <w:vAlign w:val="center"/>
          </w:tcPr>
          <w:p w14:paraId="5E5E48AA">
            <w:pPr>
              <w:pStyle w:val="36"/>
              <w:rPr>
                <w:rFonts w:ascii="Times New Roman" w:hAnsi="Times New Roman"/>
                <w:color w:val="auto"/>
                <w:highlight w:val="none"/>
              </w:rPr>
            </w:pPr>
            <w:r>
              <w:rPr>
                <w:rFonts w:hint="eastAsia" w:ascii="Times New Roman" w:hAnsi="Times New Roman"/>
                <w:color w:val="auto"/>
                <w:highlight w:val="none"/>
              </w:rPr>
              <w:t>修复区</w:t>
            </w:r>
            <w:r>
              <w:rPr>
                <w:rFonts w:ascii="Times New Roman" w:hAnsi="Times New Roman"/>
                <w:color w:val="auto"/>
                <w:highlight w:val="none"/>
              </w:rPr>
              <w:t>潮间带</w:t>
            </w:r>
            <w:r>
              <w:rPr>
                <w:rFonts w:hint="eastAsia" w:ascii="Times New Roman" w:hAnsi="Times New Roman"/>
                <w:color w:val="auto"/>
                <w:highlight w:val="none"/>
              </w:rPr>
              <w:t>面积、认定岸线长度</w:t>
            </w:r>
          </w:p>
        </w:tc>
      </w:tr>
      <w:tr w14:paraId="6D08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0DD8B5A6">
            <w:pPr>
              <w:pStyle w:val="36"/>
              <w:jc w:val="center"/>
              <w:rPr>
                <w:rFonts w:ascii="Times New Roman" w:hAnsi="Times New Roman"/>
                <w:color w:val="auto"/>
                <w:highlight w:val="none"/>
              </w:rPr>
            </w:pPr>
            <w:r>
              <w:rPr>
                <w:rFonts w:ascii="Times New Roman" w:hAnsi="Times New Roman"/>
                <w:color w:val="auto"/>
                <w:highlight w:val="none"/>
              </w:rPr>
              <w:t>5</w:t>
            </w:r>
          </w:p>
        </w:tc>
        <w:tc>
          <w:tcPr>
            <w:tcW w:w="2055" w:type="dxa"/>
            <w:tcBorders>
              <w:left w:val="single" w:color="auto" w:sz="8" w:space="0"/>
            </w:tcBorders>
            <w:noWrap w:val="0"/>
            <w:vAlign w:val="center"/>
          </w:tcPr>
          <w:p w14:paraId="793D60DB">
            <w:pPr>
              <w:pStyle w:val="36"/>
              <w:rPr>
                <w:rFonts w:ascii="Times New Roman" w:hAnsi="Times New Roman"/>
                <w:color w:val="auto"/>
                <w:highlight w:val="none"/>
              </w:rPr>
            </w:pPr>
            <w:r>
              <w:rPr>
                <w:rFonts w:ascii="Times New Roman" w:hAnsi="Times New Roman"/>
                <w:color w:val="auto"/>
                <w:highlight w:val="none"/>
              </w:rPr>
              <w:t>潮间带</w:t>
            </w:r>
            <w:r>
              <w:rPr>
                <w:rFonts w:hint="eastAsia" w:ascii="Times New Roman" w:hAnsi="Times New Roman"/>
                <w:color w:val="auto"/>
                <w:highlight w:val="none"/>
                <w:lang w:val="en-US" w:eastAsia="zh-CN"/>
              </w:rPr>
              <w:t>岸滩稳定</w:t>
            </w:r>
            <w:r>
              <w:rPr>
                <w:rFonts w:ascii="Times New Roman" w:hAnsi="Times New Roman"/>
                <w:color w:val="auto"/>
                <w:highlight w:val="none"/>
              </w:rPr>
              <w:t>状况</w:t>
            </w:r>
          </w:p>
        </w:tc>
        <w:tc>
          <w:tcPr>
            <w:tcW w:w="6698" w:type="dxa"/>
            <w:noWrap w:val="0"/>
            <w:vAlign w:val="center"/>
          </w:tcPr>
          <w:p w14:paraId="2FEECCB7">
            <w:pPr>
              <w:pStyle w:val="36"/>
              <w:rPr>
                <w:rFonts w:hint="default" w:ascii="Times New Roman" w:hAnsi="Times New Roman" w:eastAsia="宋体"/>
                <w:color w:val="auto"/>
                <w:highlight w:val="none"/>
                <w:lang w:val="en-US" w:eastAsia="zh-CN"/>
              </w:rPr>
            </w:pPr>
            <w:r>
              <w:rPr>
                <w:rFonts w:hint="eastAsia" w:ascii="Times New Roman" w:hAnsi="Times New Roman" w:eastAsia="宋体"/>
                <w:color w:val="auto"/>
                <w:highlight w:val="none"/>
                <w:lang w:val="en-US" w:eastAsia="zh-CN"/>
              </w:rPr>
              <w:t>岸滩地形地貌特征、滩面高程、面积变化量、岸线后退距离、冲刷沟槽长度、侵蚀陡坎高度、岸滩下蚀速率</w:t>
            </w:r>
          </w:p>
        </w:tc>
      </w:tr>
      <w:tr w14:paraId="4F9B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bottom w:val="single" w:color="auto" w:sz="8" w:space="0"/>
            </w:tcBorders>
            <w:noWrap w:val="0"/>
            <w:vAlign w:val="center"/>
          </w:tcPr>
          <w:p w14:paraId="134BE4E4">
            <w:pPr>
              <w:pStyle w:val="36"/>
              <w:jc w:val="center"/>
              <w:rPr>
                <w:rFonts w:ascii="Times New Roman" w:hAnsi="Times New Roman"/>
                <w:color w:val="auto"/>
                <w:highlight w:val="none"/>
              </w:rPr>
            </w:pPr>
            <w:r>
              <w:rPr>
                <w:rFonts w:ascii="Times New Roman" w:hAnsi="Times New Roman"/>
                <w:color w:val="auto"/>
                <w:highlight w:val="none"/>
              </w:rPr>
              <w:t>6</w:t>
            </w:r>
          </w:p>
        </w:tc>
        <w:tc>
          <w:tcPr>
            <w:tcW w:w="2055" w:type="dxa"/>
            <w:tcBorders>
              <w:left w:val="single" w:color="auto" w:sz="8" w:space="0"/>
              <w:bottom w:val="single" w:color="auto" w:sz="8" w:space="0"/>
            </w:tcBorders>
            <w:noWrap w:val="0"/>
            <w:vAlign w:val="center"/>
          </w:tcPr>
          <w:p w14:paraId="12EAFAF5">
            <w:pPr>
              <w:pStyle w:val="36"/>
              <w:rPr>
                <w:rFonts w:ascii="Times New Roman" w:hAnsi="Times New Roman"/>
                <w:color w:val="auto"/>
                <w:highlight w:val="none"/>
              </w:rPr>
            </w:pPr>
            <w:r>
              <w:rPr>
                <w:rFonts w:hint="eastAsia" w:ascii="Times New Roman" w:hAnsi="Times New Roman"/>
                <w:color w:val="auto"/>
                <w:highlight w:val="none"/>
              </w:rPr>
              <w:t>潮间带滩面砂质情况</w:t>
            </w:r>
          </w:p>
        </w:tc>
        <w:tc>
          <w:tcPr>
            <w:tcW w:w="6698" w:type="dxa"/>
            <w:tcBorders>
              <w:bottom w:val="single" w:color="auto" w:sz="8" w:space="0"/>
            </w:tcBorders>
            <w:noWrap w:val="0"/>
            <w:vAlign w:val="center"/>
          </w:tcPr>
          <w:p w14:paraId="6D81CB70">
            <w:pPr>
              <w:pStyle w:val="36"/>
              <w:rPr>
                <w:rFonts w:hint="eastAsia" w:ascii="Times New Roman" w:hAnsi="Times New Roman" w:eastAsia="宋体"/>
                <w:color w:val="auto"/>
                <w:highlight w:val="none"/>
                <w:lang w:val="en-US" w:eastAsia="zh-CN"/>
              </w:rPr>
            </w:pPr>
            <w:r>
              <w:rPr>
                <w:rFonts w:hint="eastAsia" w:ascii="Times New Roman" w:hAnsi="Times New Roman" w:eastAsia="宋体"/>
                <w:color w:val="auto"/>
                <w:highlight w:val="none"/>
                <w:lang w:val="en-US" w:eastAsia="zh-CN"/>
              </w:rPr>
              <w:t>沉积物中值粒径、粒度组分、沉积物类型、</w:t>
            </w:r>
            <w:r>
              <w:rPr>
                <w:rFonts w:hint="eastAsia" w:ascii="Times New Roman" w:hAnsi="Times New Roman" w:eastAsia="宋体"/>
                <w:color w:val="auto"/>
                <w:highlight w:val="none"/>
              </w:rPr>
              <w:t>淤泥质夹层</w:t>
            </w:r>
            <w:r>
              <w:rPr>
                <w:rFonts w:hint="eastAsia" w:ascii="Times New Roman" w:hAnsi="Times New Roman" w:eastAsia="宋体"/>
                <w:color w:val="auto"/>
                <w:highlight w:val="none"/>
                <w:lang w:eastAsia="zh-CN"/>
              </w:rPr>
              <w:t>、</w:t>
            </w:r>
            <w:r>
              <w:rPr>
                <w:rFonts w:hint="eastAsia" w:ascii="Times New Roman" w:hAnsi="Times New Roman" w:eastAsia="宋体"/>
                <w:color w:val="auto"/>
                <w:highlight w:val="none"/>
              </w:rPr>
              <w:t>板结层厚度</w:t>
            </w:r>
          </w:p>
        </w:tc>
      </w:tr>
    </w:tbl>
    <w:p w14:paraId="3DDBC9B4">
      <w:pPr>
        <w:pStyle w:val="21"/>
        <w:spacing w:before="156" w:after="156"/>
        <w:ind w:left="0"/>
        <w:rPr>
          <w:rFonts w:hint="eastAsia"/>
          <w:color w:val="auto"/>
          <w:highlight w:val="none"/>
        </w:rPr>
      </w:pPr>
      <w:bookmarkStart w:id="195" w:name="_Toc6309"/>
      <w:bookmarkStart w:id="196" w:name="_Toc21179"/>
      <w:r>
        <w:rPr>
          <w:rFonts w:hint="eastAsia"/>
          <w:color w:val="auto"/>
          <w:highlight w:val="none"/>
        </w:rPr>
        <w:t>调查线路与站位</w:t>
      </w:r>
      <w:bookmarkEnd w:id="195"/>
      <w:bookmarkEnd w:id="196"/>
      <w:r>
        <w:rPr>
          <w:rFonts w:hint="eastAsia"/>
          <w:color w:val="auto"/>
          <w:highlight w:val="none"/>
        </w:rPr>
        <w:t xml:space="preserve"> </w:t>
      </w:r>
    </w:p>
    <w:p w14:paraId="2C42FF59">
      <w:pPr>
        <w:pStyle w:val="76"/>
        <w:ind w:left="0"/>
        <w:rPr>
          <w:color w:val="auto"/>
          <w:highlight w:val="none"/>
        </w:rPr>
      </w:pPr>
      <w:r>
        <w:rPr>
          <w:rFonts w:hint="eastAsia"/>
          <w:color w:val="auto"/>
          <w:highlight w:val="none"/>
        </w:rPr>
        <w:t>修复成效指标宜从海洋生态修复项目材料中提取，并结合现场测量验证修复措施、规模及质量。</w:t>
      </w:r>
    </w:p>
    <w:p w14:paraId="06CA2600">
      <w:pPr>
        <w:pStyle w:val="76"/>
        <w:ind w:left="0"/>
        <w:rPr>
          <w:rFonts w:hint="eastAsia"/>
          <w:color w:val="auto"/>
          <w:highlight w:val="none"/>
        </w:rPr>
      </w:pPr>
      <w:r>
        <w:rPr>
          <w:rFonts w:hint="eastAsia"/>
          <w:color w:val="auto"/>
          <w:highlight w:val="none"/>
        </w:rPr>
        <w:t>地形指标及景观指标宜设置航线开展调查，航线要求按照</w:t>
      </w:r>
      <w:r>
        <w:rPr>
          <w:rFonts w:hint="eastAsia"/>
          <w:highlight w:val="none"/>
        </w:rPr>
        <w:t>T/</w:t>
      </w:r>
      <w:r>
        <w:rPr>
          <w:rFonts w:hint="eastAsia"/>
          <w:color w:val="auto"/>
          <w:lang w:val="en-US" w:eastAsia="zh-CN"/>
        </w:rPr>
        <w:t>GXAS</w:t>
      </w:r>
      <w:r>
        <w:rPr>
          <w:rFonts w:hint="eastAsia"/>
          <w:highlight w:val="none"/>
        </w:rPr>
        <w:t xml:space="preserve"> ××</w:t>
      </w:r>
      <w:r>
        <w:rPr>
          <w:rFonts w:hint="eastAsia"/>
          <w:highlight w:val="none"/>
          <w:lang w:val="en-US" w:eastAsia="zh-CN"/>
        </w:rPr>
        <w:t>.1</w:t>
      </w:r>
      <w:r>
        <w:rPr>
          <w:rFonts w:hint="eastAsia"/>
          <w:highlight w:val="none"/>
        </w:rPr>
        <w:t>-××</w:t>
      </w:r>
      <w:r>
        <w:rPr>
          <w:rFonts w:hint="eastAsia"/>
        </w:rPr>
        <w:t>中7.5、7.6、7.7</w:t>
      </w:r>
      <w:r>
        <w:rPr>
          <w:rFonts w:hint="eastAsia"/>
          <w:color w:val="auto"/>
          <w:highlight w:val="none"/>
        </w:rPr>
        <w:t>规定执行。</w:t>
      </w:r>
    </w:p>
    <w:p w14:paraId="7DB03961">
      <w:pPr>
        <w:pStyle w:val="76"/>
        <w:ind w:left="0"/>
        <w:rPr>
          <w:color w:val="auto"/>
          <w:highlight w:val="none"/>
        </w:rPr>
      </w:pPr>
      <w:r>
        <w:rPr>
          <w:rFonts w:hint="eastAsia"/>
          <w:color w:val="auto"/>
          <w:highlight w:val="none"/>
        </w:rPr>
        <w:t>理化性质指标宜设置断面和站位开展现场采样及观测，断面、站位数量及分布按照</w:t>
      </w:r>
      <w:r>
        <w:rPr>
          <w:rFonts w:hint="eastAsia"/>
          <w:highlight w:val="none"/>
        </w:rPr>
        <w:t>T/</w:t>
      </w:r>
      <w:r>
        <w:rPr>
          <w:rFonts w:hint="eastAsia"/>
          <w:color w:val="auto"/>
          <w:lang w:val="en-US" w:eastAsia="zh-CN"/>
        </w:rPr>
        <w:t>GXAS</w:t>
      </w:r>
      <w:r>
        <w:rPr>
          <w:rFonts w:hint="eastAsia"/>
          <w:highlight w:val="none"/>
        </w:rPr>
        <w:t xml:space="preserve"> ××</w:t>
      </w:r>
      <w:r>
        <w:rPr>
          <w:rFonts w:hint="eastAsia"/>
          <w:highlight w:val="none"/>
          <w:lang w:val="en-US" w:eastAsia="zh-CN"/>
        </w:rPr>
        <w:t>.1</w:t>
      </w:r>
      <w:r>
        <w:rPr>
          <w:rFonts w:hint="eastAsia"/>
          <w:highlight w:val="none"/>
        </w:rPr>
        <w:t>-××</w:t>
      </w:r>
      <w:r>
        <w:rPr>
          <w:rFonts w:hint="eastAsia"/>
        </w:rPr>
        <w:t>中7.8</w:t>
      </w:r>
      <w:r>
        <w:rPr>
          <w:rFonts w:hint="eastAsia"/>
          <w:color w:val="auto"/>
          <w:highlight w:val="none"/>
        </w:rPr>
        <w:t>规定执行。每个申请认定岸段至少布设1条调查断面，若岸段长度超过1000 m，宜每1000 m增加1个断面。在每条断面的高、中、低潮带各设1个站位。</w:t>
      </w:r>
    </w:p>
    <w:p w14:paraId="43FB626B">
      <w:pPr>
        <w:pStyle w:val="76"/>
        <w:ind w:left="0"/>
        <w:rPr>
          <w:color w:val="auto"/>
          <w:highlight w:val="none"/>
        </w:rPr>
      </w:pPr>
      <w:r>
        <w:rPr>
          <w:rFonts w:hint="eastAsia"/>
          <w:color w:val="auto"/>
          <w:highlight w:val="none"/>
        </w:rPr>
        <w:t>如果修复项目在施工前开展过生态环境跟踪监测，现状调查设置的样线、样点、站位的位置宜与施工前的一致。</w:t>
      </w:r>
    </w:p>
    <w:p w14:paraId="4AE6D731">
      <w:pPr>
        <w:pStyle w:val="21"/>
        <w:spacing w:before="156" w:after="156"/>
        <w:ind w:left="0"/>
        <w:rPr>
          <w:rFonts w:hint="eastAsia"/>
          <w:color w:val="auto"/>
          <w:highlight w:val="none"/>
        </w:rPr>
      </w:pPr>
      <w:bookmarkStart w:id="197" w:name="_Toc28598"/>
      <w:bookmarkStart w:id="198" w:name="_Toc28252"/>
      <w:r>
        <w:rPr>
          <w:rFonts w:hint="eastAsia"/>
          <w:color w:val="auto"/>
          <w:highlight w:val="none"/>
        </w:rPr>
        <w:t>调查时间</w:t>
      </w:r>
      <w:bookmarkEnd w:id="188"/>
      <w:bookmarkEnd w:id="189"/>
      <w:bookmarkEnd w:id="190"/>
      <w:bookmarkEnd w:id="191"/>
      <w:bookmarkEnd w:id="192"/>
      <w:bookmarkEnd w:id="193"/>
      <w:bookmarkEnd w:id="194"/>
      <w:r>
        <w:rPr>
          <w:rFonts w:hint="eastAsia"/>
          <w:color w:val="auto"/>
          <w:highlight w:val="none"/>
        </w:rPr>
        <w:t>及频次</w:t>
      </w:r>
      <w:bookmarkEnd w:id="197"/>
      <w:bookmarkEnd w:id="198"/>
    </w:p>
    <w:p w14:paraId="2AE42EBD">
      <w:pPr>
        <w:pStyle w:val="76"/>
        <w:ind w:left="0"/>
        <w:rPr>
          <w:color w:val="auto"/>
          <w:highlight w:val="none"/>
        </w:rPr>
      </w:pPr>
      <w:r>
        <w:rPr>
          <w:rFonts w:hint="eastAsia"/>
          <w:color w:val="auto"/>
          <w:highlight w:val="none"/>
        </w:rPr>
        <w:t>认定工作在工程项目竣工验收1年后开展。</w:t>
      </w:r>
    </w:p>
    <w:p w14:paraId="75AC6C7E">
      <w:pPr>
        <w:pStyle w:val="76"/>
        <w:ind w:left="0"/>
        <w:rPr>
          <w:color w:val="auto"/>
          <w:highlight w:val="none"/>
        </w:rPr>
      </w:pPr>
      <w:r>
        <w:rPr>
          <w:rFonts w:hint="eastAsia"/>
          <w:color w:val="auto"/>
          <w:highlight w:val="none"/>
        </w:rPr>
        <w:t>如果修复项目在施工前开展过生态环境跟踪监测，现状调查的时间宜与施工前的一致。</w:t>
      </w:r>
    </w:p>
    <w:p w14:paraId="2D367D10">
      <w:pPr>
        <w:pStyle w:val="76"/>
        <w:ind w:left="0"/>
        <w:rPr>
          <w:color w:val="auto"/>
          <w:highlight w:val="none"/>
        </w:rPr>
      </w:pPr>
      <w:r>
        <w:rPr>
          <w:rFonts w:hint="eastAsia"/>
          <w:color w:val="auto"/>
          <w:highlight w:val="none"/>
        </w:rPr>
        <w:t>现状调查开展1次。</w:t>
      </w:r>
    </w:p>
    <w:bookmarkEnd w:id="161"/>
    <w:bookmarkEnd w:id="162"/>
    <w:bookmarkEnd w:id="163"/>
    <w:bookmarkEnd w:id="164"/>
    <w:bookmarkEnd w:id="165"/>
    <w:bookmarkEnd w:id="166"/>
    <w:bookmarkEnd w:id="167"/>
    <w:bookmarkEnd w:id="168"/>
    <w:p w14:paraId="084D488E">
      <w:pPr>
        <w:pStyle w:val="21"/>
        <w:spacing w:before="156" w:after="156"/>
        <w:ind w:left="0"/>
        <w:rPr>
          <w:rFonts w:hint="eastAsia"/>
          <w:color w:val="auto"/>
          <w:highlight w:val="none"/>
        </w:rPr>
      </w:pPr>
      <w:bookmarkStart w:id="199" w:name="_Toc11585"/>
      <w:bookmarkStart w:id="200" w:name="_Toc27476"/>
      <w:bookmarkStart w:id="201" w:name="_Toc19172"/>
      <w:r>
        <w:rPr>
          <w:rFonts w:hint="eastAsia"/>
          <w:color w:val="auto"/>
          <w:highlight w:val="none"/>
        </w:rPr>
        <w:t>调查方法</w:t>
      </w:r>
      <w:bookmarkEnd w:id="199"/>
      <w:bookmarkEnd w:id="200"/>
      <w:bookmarkEnd w:id="201"/>
    </w:p>
    <w:bookmarkEnd w:id="169"/>
    <w:bookmarkEnd w:id="170"/>
    <w:bookmarkEnd w:id="171"/>
    <w:bookmarkEnd w:id="172"/>
    <w:bookmarkEnd w:id="173"/>
    <w:bookmarkEnd w:id="174"/>
    <w:bookmarkEnd w:id="175"/>
    <w:p w14:paraId="0667F72A">
      <w:pPr>
        <w:pStyle w:val="22"/>
        <w:bidi w:val="0"/>
        <w:rPr>
          <w:rFonts w:hint="eastAsia"/>
        </w:rPr>
      </w:pPr>
      <w:bookmarkStart w:id="202" w:name="_Toc192845355"/>
      <w:bookmarkStart w:id="203" w:name="_Toc22217"/>
      <w:bookmarkStart w:id="204" w:name="_Toc192847360"/>
      <w:bookmarkStart w:id="205" w:name="_Toc192847307"/>
      <w:bookmarkStart w:id="206" w:name="_Toc192846447"/>
      <w:bookmarkStart w:id="207" w:name="_Toc192845317"/>
      <w:bookmarkStart w:id="208" w:name="_Toc192846382"/>
      <w:r>
        <w:t>岸线形态恢复有效性</w:t>
      </w:r>
      <w:bookmarkEnd w:id="202"/>
      <w:bookmarkEnd w:id="203"/>
      <w:bookmarkEnd w:id="204"/>
      <w:bookmarkEnd w:id="205"/>
      <w:bookmarkEnd w:id="206"/>
      <w:bookmarkEnd w:id="207"/>
      <w:bookmarkEnd w:id="208"/>
      <w:r>
        <w:rPr>
          <w:rFonts w:hint="eastAsia"/>
        </w:rPr>
        <w:t>指标调查</w:t>
      </w:r>
    </w:p>
    <w:p w14:paraId="7F6A8A6B">
      <w:pPr>
        <w:pStyle w:val="77"/>
        <w:bidi w:val="0"/>
        <w:rPr>
          <w:rFonts w:hint="eastAsia"/>
        </w:rPr>
      </w:pPr>
      <w:r>
        <w:rPr>
          <w:rFonts w:hint="eastAsia"/>
        </w:rPr>
        <w:t>岸线状态的现状岸线、原状岸线的位置、走向和外貌，采用无人机遥感方式，获取工程施工前后在大潮期最低潮位时段的正射影像（正射影像分辨率应优于0.1 m），结合现场测量和验收材料获取各类数据和视频图像信息。</w:t>
      </w:r>
    </w:p>
    <w:p w14:paraId="374A8E5E">
      <w:pPr>
        <w:pStyle w:val="77"/>
        <w:bidi w:val="0"/>
      </w:pPr>
      <w:r>
        <w:rPr>
          <w:rFonts w:hint="eastAsia"/>
        </w:rPr>
        <w:t>统计现状岸线、原状岸线态信息，岸线信息统计按照</w:t>
      </w:r>
      <w:r>
        <w:rPr>
          <w:rFonts w:hint="eastAsia"/>
          <w:highlight w:val="none"/>
        </w:rPr>
        <w:t>T/</w:t>
      </w:r>
      <w:r>
        <w:rPr>
          <w:rFonts w:hint="eastAsia"/>
          <w:color w:val="auto"/>
          <w:lang w:val="en-US" w:eastAsia="zh-CN"/>
        </w:rPr>
        <w:t>GXAS</w:t>
      </w:r>
      <w:r>
        <w:rPr>
          <w:rFonts w:hint="eastAsia"/>
          <w:highlight w:val="none"/>
        </w:rPr>
        <w:t xml:space="preserve"> ××</w:t>
      </w:r>
      <w:r>
        <w:rPr>
          <w:rFonts w:hint="eastAsia"/>
          <w:highlight w:val="none"/>
          <w:lang w:val="en-US" w:eastAsia="zh-CN"/>
        </w:rPr>
        <w:t>.1</w:t>
      </w:r>
      <w:r>
        <w:rPr>
          <w:rFonts w:hint="eastAsia"/>
          <w:highlight w:val="none"/>
        </w:rPr>
        <w:t>-××</w:t>
      </w:r>
      <w:r>
        <w:rPr>
          <w:rFonts w:hint="eastAsia"/>
        </w:rPr>
        <w:t>中6</w:t>
      </w:r>
      <w:r>
        <w:t>.</w:t>
      </w:r>
      <w:r>
        <w:rPr>
          <w:rFonts w:hint="eastAsia"/>
        </w:rPr>
        <w:t>4.2.5规定执行。</w:t>
      </w:r>
    </w:p>
    <w:p w14:paraId="00B61239">
      <w:pPr>
        <w:pStyle w:val="77"/>
        <w:bidi w:val="0"/>
        <w:rPr>
          <w:rFonts w:hint="eastAsia"/>
        </w:rPr>
      </w:pPr>
      <w:r>
        <w:t>工程区沉积物类型除定量分析粒度确定外，也可通过观察简易判断。沉积物粒度监测按照GB/T 12763.8</w:t>
      </w:r>
      <w:r>
        <w:rPr>
          <w:rFonts w:hint="eastAsia"/>
          <w:lang w:eastAsia="zh-CN"/>
        </w:rPr>
        <w:t>中</w:t>
      </w:r>
      <w:r>
        <w:t>规定执行。</w:t>
      </w:r>
    </w:p>
    <w:p w14:paraId="6A4B3F23">
      <w:pPr>
        <w:pStyle w:val="77"/>
        <w:bidi w:val="0"/>
        <w:rPr>
          <w:rFonts w:hint="eastAsia"/>
        </w:rPr>
      </w:pPr>
      <w:r>
        <w:rPr>
          <w:rFonts w:hint="eastAsia"/>
        </w:rPr>
        <w:t>技术要求按照</w:t>
      </w:r>
      <w:r>
        <w:rPr>
          <w:rFonts w:hint="eastAsia"/>
          <w:highlight w:val="none"/>
        </w:rPr>
        <w:t>T/</w:t>
      </w:r>
      <w:r>
        <w:rPr>
          <w:rFonts w:hint="eastAsia"/>
          <w:color w:val="auto"/>
          <w:lang w:val="en-US" w:eastAsia="zh-CN"/>
        </w:rPr>
        <w:t>GXAS</w:t>
      </w:r>
      <w:r>
        <w:rPr>
          <w:rFonts w:hint="eastAsia"/>
          <w:highlight w:val="none"/>
        </w:rPr>
        <w:t xml:space="preserve"> ××</w:t>
      </w:r>
      <w:r>
        <w:rPr>
          <w:rFonts w:hint="eastAsia"/>
          <w:highlight w:val="none"/>
          <w:lang w:val="en-US" w:eastAsia="zh-CN"/>
        </w:rPr>
        <w:t>.1</w:t>
      </w:r>
      <w:r>
        <w:rPr>
          <w:rFonts w:hint="eastAsia"/>
          <w:highlight w:val="none"/>
        </w:rPr>
        <w:t>-××</w:t>
      </w:r>
      <w:r>
        <w:rPr>
          <w:rFonts w:hint="eastAsia"/>
        </w:rPr>
        <w:t>中6</w:t>
      </w:r>
      <w:r>
        <w:t>.3.3</w:t>
      </w:r>
      <w:r>
        <w:rPr>
          <w:rFonts w:hint="eastAsia"/>
        </w:rPr>
        <w:t>规定执行。</w:t>
      </w:r>
    </w:p>
    <w:p w14:paraId="2A3FA380">
      <w:pPr>
        <w:pStyle w:val="22"/>
        <w:bidi w:val="0"/>
        <w:rPr>
          <w:rFonts w:hint="eastAsia"/>
        </w:rPr>
      </w:pPr>
      <w:bookmarkStart w:id="209" w:name="_Toc192845320"/>
      <w:bookmarkStart w:id="210" w:name="_Toc192847361"/>
      <w:bookmarkStart w:id="211" w:name="_Toc192846383"/>
      <w:bookmarkStart w:id="212" w:name="_Toc192845356"/>
      <w:bookmarkStart w:id="213" w:name="_Toc192846448"/>
      <w:bookmarkStart w:id="214" w:name="_Toc192847308"/>
      <w:bookmarkStart w:id="215" w:name="_Toc27654"/>
      <w:r>
        <w:t>修复措施执行符合性</w:t>
      </w:r>
      <w:bookmarkEnd w:id="209"/>
      <w:bookmarkEnd w:id="210"/>
      <w:bookmarkEnd w:id="211"/>
      <w:bookmarkEnd w:id="212"/>
      <w:bookmarkEnd w:id="213"/>
      <w:bookmarkEnd w:id="214"/>
      <w:bookmarkEnd w:id="215"/>
      <w:r>
        <w:rPr>
          <w:rFonts w:hint="eastAsia"/>
        </w:rPr>
        <w:t>指标调查</w:t>
      </w:r>
    </w:p>
    <w:p w14:paraId="22C69E2B">
      <w:pPr>
        <w:pStyle w:val="77"/>
        <w:bidi w:val="0"/>
      </w:pPr>
      <w:r>
        <w:rPr>
          <w:rFonts w:hint="eastAsia"/>
        </w:rPr>
        <w:t>从海洋生态修复项目材料中提取修复措施相关信息，并开展现场验证修复措施、规模及质量；充分运用管理文件、验收档案、遥感影像、照片、视频等佐证材料，呈现修复过程完整的证据全链条。</w:t>
      </w:r>
    </w:p>
    <w:p w14:paraId="5E1A7A61">
      <w:pPr>
        <w:pStyle w:val="77"/>
        <w:bidi w:val="0"/>
        <w:rPr>
          <w:rFonts w:hint="eastAsia"/>
        </w:rPr>
      </w:pPr>
      <w:r>
        <w:rPr>
          <w:rFonts w:hint="eastAsia"/>
        </w:rPr>
        <w:t>修复措施的修复区的原状，过程（修复措施类型和规模）及现状信息，采用无人机遥感方式，获取工程施工前后在大潮最低潮时的正射影像，结合现场核实和验收材料获取各类数据和视频图像信息。</w:t>
      </w:r>
    </w:p>
    <w:p w14:paraId="097BBCE4">
      <w:pPr>
        <w:pStyle w:val="77"/>
        <w:bidi w:val="0"/>
        <w:rPr>
          <w:rFonts w:hint="eastAsia"/>
        </w:rPr>
      </w:pPr>
      <w:r>
        <w:rPr>
          <w:rFonts w:hint="eastAsia"/>
        </w:rPr>
        <w:t>现场调查认定岸段及邻近区域是否有互花米草等入侵物种分布。如有，应提供清除记录和清除后效果评估材料。清除率应达到100%，萌蘖面积百分比≤1%，无大面积复发。</w:t>
      </w:r>
    </w:p>
    <w:p w14:paraId="6B84ADD5">
      <w:pPr>
        <w:pStyle w:val="77"/>
        <w:bidi w:val="0"/>
        <w:rPr>
          <w:rFonts w:hint="eastAsia"/>
        </w:rPr>
      </w:pPr>
      <w:bookmarkStart w:id="216" w:name="_Toc192845322"/>
      <w:r>
        <w:rPr>
          <w:rFonts w:hint="eastAsia"/>
        </w:rPr>
        <w:t>技术要求</w:t>
      </w:r>
      <w:bookmarkEnd w:id="216"/>
      <w:r>
        <w:rPr>
          <w:rFonts w:hint="eastAsia"/>
        </w:rPr>
        <w:t>按照</w:t>
      </w:r>
      <w:r>
        <w:rPr>
          <w:rFonts w:hint="eastAsia"/>
          <w:highlight w:val="none"/>
        </w:rPr>
        <w:t>T/</w:t>
      </w:r>
      <w:r>
        <w:rPr>
          <w:rFonts w:hint="eastAsia"/>
          <w:color w:val="auto"/>
          <w:lang w:val="en-US" w:eastAsia="zh-CN"/>
        </w:rPr>
        <w:t>GXAS</w:t>
      </w:r>
      <w:r>
        <w:rPr>
          <w:rFonts w:hint="eastAsia"/>
          <w:highlight w:val="none"/>
        </w:rPr>
        <w:t xml:space="preserve"> ××</w:t>
      </w:r>
      <w:r>
        <w:rPr>
          <w:rFonts w:hint="eastAsia"/>
          <w:highlight w:val="none"/>
          <w:lang w:val="en-US" w:eastAsia="zh-CN"/>
        </w:rPr>
        <w:t>.1</w:t>
      </w:r>
      <w:r>
        <w:rPr>
          <w:rFonts w:hint="eastAsia"/>
          <w:highlight w:val="none"/>
        </w:rPr>
        <w:t>-××</w:t>
      </w:r>
      <w:r>
        <w:rPr>
          <w:rFonts w:hint="eastAsia"/>
        </w:rPr>
        <w:t>中6</w:t>
      </w:r>
      <w:r>
        <w:t>.3.3</w:t>
      </w:r>
      <w:r>
        <w:rPr>
          <w:rFonts w:hint="eastAsia"/>
        </w:rPr>
        <w:t>规定执行。</w:t>
      </w:r>
    </w:p>
    <w:p w14:paraId="3B62F091">
      <w:pPr>
        <w:pStyle w:val="22"/>
        <w:bidi w:val="0"/>
      </w:pPr>
      <w:bookmarkStart w:id="217" w:name="_Toc192846384"/>
      <w:bookmarkStart w:id="218" w:name="_Toc192847309"/>
      <w:bookmarkStart w:id="219" w:name="_Toc192847362"/>
      <w:bookmarkStart w:id="220" w:name="_Toc192845323"/>
      <w:bookmarkStart w:id="221" w:name="_Toc192846449"/>
      <w:bookmarkStart w:id="222" w:name="_Toc17127"/>
      <w:bookmarkStart w:id="223" w:name="_Toc192845357"/>
      <w:r>
        <w:t>潮间带发育完整程度</w:t>
      </w:r>
      <w:r>
        <w:rPr>
          <w:rFonts w:hint="eastAsia"/>
        </w:rPr>
        <w:t>指标调查</w:t>
      </w:r>
    </w:p>
    <w:bookmarkEnd w:id="217"/>
    <w:bookmarkEnd w:id="218"/>
    <w:bookmarkEnd w:id="219"/>
    <w:bookmarkEnd w:id="220"/>
    <w:bookmarkEnd w:id="221"/>
    <w:bookmarkEnd w:id="222"/>
    <w:bookmarkEnd w:id="223"/>
    <w:p w14:paraId="01369D5D">
      <w:pPr>
        <w:pStyle w:val="77"/>
        <w:bidi w:val="0"/>
        <w:rPr>
          <w:rFonts w:hint="eastAsia"/>
        </w:rPr>
      </w:pPr>
      <w:r>
        <w:rPr>
          <w:rFonts w:hint="eastAsia"/>
        </w:rPr>
        <w:t>运用航空摄影、GNSS RTK等</w:t>
      </w:r>
      <w:r>
        <w:t>测量方法</w:t>
      </w:r>
      <w:r>
        <w:rPr>
          <w:rFonts w:hint="eastAsia"/>
        </w:rPr>
        <w:t>，获取大潮期最低潮时段的认定岸线及其潮间带的</w:t>
      </w:r>
      <w:r>
        <w:t>高精度测绘</w:t>
      </w:r>
      <w:r>
        <w:rPr>
          <w:rFonts w:hint="eastAsia"/>
        </w:rPr>
        <w:t>数据，潮间带高、中、低潮带完整性，采用现场踏勘结合无人机遥感方式，分析潮间带高、中、低潮带位置。调查内容按照HY/T 0460.11-2024中6.3.1.1、6</w:t>
      </w:r>
      <w:r>
        <w:t>.3.2.1</w:t>
      </w:r>
      <w:r>
        <w:rPr>
          <w:rFonts w:hint="eastAsia"/>
        </w:rPr>
        <w:t>和6.3.3规定执行。</w:t>
      </w:r>
    </w:p>
    <w:p w14:paraId="5BD8CB36">
      <w:pPr>
        <w:pStyle w:val="77"/>
        <w:bidi w:val="0"/>
        <w:rPr>
          <w:rFonts w:hint="eastAsia"/>
        </w:rPr>
      </w:pPr>
      <w:bookmarkStart w:id="224" w:name="_Toc192845325"/>
      <w:r>
        <w:rPr>
          <w:rFonts w:hint="eastAsia"/>
        </w:rPr>
        <w:t>技术要求</w:t>
      </w:r>
      <w:bookmarkEnd w:id="224"/>
      <w:r>
        <w:rPr>
          <w:rFonts w:hint="eastAsia"/>
        </w:rPr>
        <w:t>按照HY/T 0460.11-2024中6.3.1.2和6</w:t>
      </w:r>
      <w:r>
        <w:t>.3.2.2</w:t>
      </w:r>
      <w:r>
        <w:rPr>
          <w:rFonts w:hint="eastAsia"/>
        </w:rPr>
        <w:t>规定执行。</w:t>
      </w:r>
    </w:p>
    <w:p w14:paraId="5505F5D2">
      <w:pPr>
        <w:pStyle w:val="22"/>
        <w:bidi w:val="0"/>
        <w:rPr>
          <w:rFonts w:hint="eastAsia"/>
        </w:rPr>
      </w:pPr>
      <w:bookmarkStart w:id="225" w:name="_Toc192846385"/>
      <w:bookmarkStart w:id="226" w:name="_Toc192847310"/>
      <w:bookmarkStart w:id="227" w:name="_Toc16488"/>
      <w:bookmarkStart w:id="228" w:name="_Toc192846450"/>
      <w:bookmarkStart w:id="229" w:name="_Toc192845326"/>
      <w:bookmarkStart w:id="230" w:name="_Toc192845358"/>
      <w:bookmarkStart w:id="231" w:name="_Toc192847363"/>
      <w:r>
        <w:t>潮间带平均宽度</w:t>
      </w:r>
      <w:r>
        <w:rPr>
          <w:rFonts w:hint="eastAsia"/>
        </w:rPr>
        <w:t>调查</w:t>
      </w:r>
      <w:bookmarkEnd w:id="225"/>
      <w:bookmarkEnd w:id="226"/>
      <w:bookmarkEnd w:id="227"/>
      <w:bookmarkEnd w:id="228"/>
      <w:bookmarkEnd w:id="229"/>
      <w:bookmarkEnd w:id="230"/>
      <w:bookmarkEnd w:id="231"/>
      <w:r>
        <w:rPr>
          <w:rFonts w:hint="eastAsia"/>
        </w:rPr>
        <w:t>及计算</w:t>
      </w:r>
    </w:p>
    <w:p w14:paraId="6DA5751E">
      <w:pPr>
        <w:pStyle w:val="77"/>
        <w:bidi w:val="0"/>
      </w:pPr>
      <w:r>
        <w:rPr>
          <w:rFonts w:hint="eastAsia"/>
        </w:rPr>
        <w:t>调查采取无人机遥感方式，获取大潮期最高潮时段及最低潮时段的正射影像，使用GIS软件进行影像勾绘获取岸线潮间带形状数据。</w:t>
      </w:r>
    </w:p>
    <w:p w14:paraId="2BBAC06B">
      <w:pPr>
        <w:pStyle w:val="77"/>
        <w:bidi w:val="0"/>
      </w:pPr>
      <w:r>
        <w:rPr>
          <w:rFonts w:hint="eastAsia"/>
        </w:rPr>
        <w:t>运用航空摄影、GNSS RTK等</w:t>
      </w:r>
      <w:r>
        <w:t>测量方法</w:t>
      </w:r>
      <w:r>
        <w:rPr>
          <w:rFonts w:hint="eastAsia"/>
        </w:rPr>
        <w:t>，获取大潮期最低潮时段的认定岸线及其潮间带的</w:t>
      </w:r>
      <w:r>
        <w:t>高精度测绘</w:t>
      </w:r>
      <w:r>
        <w:rPr>
          <w:rFonts w:hint="eastAsia"/>
        </w:rPr>
        <w:t>数据，使用GIS或CAD软件处理数据得到潮间带形状，定量分析潮间带发育完整性</w:t>
      </w:r>
      <w:r>
        <w:rPr>
          <w:rFonts w:hint="eastAsia"/>
          <w:lang w:val="zh-CN"/>
        </w:rPr>
        <w:t>。</w:t>
      </w:r>
      <w:bookmarkStart w:id="232" w:name="_Toc192845328"/>
      <w:r>
        <w:rPr>
          <w:rFonts w:hint="eastAsia"/>
        </w:rPr>
        <w:t>技术要求</w:t>
      </w:r>
      <w:bookmarkEnd w:id="232"/>
      <w:r>
        <w:rPr>
          <w:rFonts w:hint="eastAsia"/>
        </w:rPr>
        <w:t>按照HY/T 0460.11-2024中6</w:t>
      </w:r>
      <w:r>
        <w:t>.3.1.2</w:t>
      </w:r>
      <w:r>
        <w:rPr>
          <w:rFonts w:hint="eastAsia"/>
        </w:rPr>
        <w:t>规定执行。潮间带平均宽度计算方法见总则</w:t>
      </w:r>
      <w:r>
        <w:t>E.1岸滩宽度计算方法</w:t>
      </w:r>
      <w:r>
        <w:rPr>
          <w:rFonts w:hint="eastAsia"/>
        </w:rPr>
        <w:t>。</w:t>
      </w:r>
    </w:p>
    <w:p w14:paraId="7181DFBF">
      <w:pPr>
        <w:pStyle w:val="22"/>
        <w:bidi w:val="0"/>
        <w:rPr>
          <w:rFonts w:hint="eastAsia"/>
        </w:rPr>
      </w:pPr>
      <w:bookmarkStart w:id="233" w:name="_Toc192846386"/>
      <w:bookmarkStart w:id="234" w:name="_Toc12198"/>
      <w:bookmarkStart w:id="235" w:name="_Toc192847364"/>
      <w:bookmarkStart w:id="236" w:name="_Toc192846451"/>
      <w:bookmarkStart w:id="237" w:name="_Toc192847311"/>
      <w:bookmarkStart w:id="238" w:name="_Toc192845329"/>
      <w:bookmarkStart w:id="239" w:name="_Toc192845359"/>
      <w:r>
        <w:t>潮间带</w:t>
      </w:r>
      <w:r>
        <w:rPr>
          <w:rFonts w:hint="eastAsia"/>
          <w:lang w:val="en-US" w:eastAsia="zh-CN"/>
        </w:rPr>
        <w:t>岸滩稳定</w:t>
      </w:r>
      <w:r>
        <w:t>状况</w:t>
      </w:r>
      <w:r>
        <w:rPr>
          <w:rFonts w:hint="eastAsia"/>
          <w:lang w:val="en-US" w:eastAsia="zh-CN"/>
        </w:rPr>
        <w:t>调查</w:t>
      </w:r>
    </w:p>
    <w:p w14:paraId="5585EFAB">
      <w:pPr>
        <w:pStyle w:val="77"/>
        <w:bidi w:val="0"/>
        <w:rPr>
          <w:rFonts w:hint="eastAsia"/>
        </w:rPr>
      </w:pPr>
      <w:r>
        <w:rPr>
          <w:rFonts w:hint="eastAsia"/>
        </w:rPr>
        <w:t>潮间带岸滩稳定状况调查采用断面监测法，按GB/T 42435-2023</w:t>
      </w:r>
      <w:r>
        <w:rPr>
          <w:rFonts w:hint="eastAsia"/>
          <w:lang w:val="en-US" w:eastAsia="zh-CN"/>
        </w:rPr>
        <w:t>中</w:t>
      </w:r>
      <w:r>
        <w:rPr>
          <w:rFonts w:hint="eastAsia"/>
          <w:lang w:eastAsia="zh-CN"/>
        </w:rPr>
        <w:t>规定</w:t>
      </w:r>
      <w:r>
        <w:rPr>
          <w:rFonts w:hint="eastAsia"/>
        </w:rPr>
        <w:t>执行。沿代表性岸段以200 m～500 m间距布设固定监测断面，在滩肩后缘或海崖顶部埋设永久性监测桩作为基准点。使用GNSS RTK</w:t>
      </w:r>
      <w:r>
        <w:rPr>
          <w:rFonts w:hint="eastAsia"/>
          <w:lang w:val="en-US" w:eastAsia="zh-CN"/>
        </w:rPr>
        <w:t>等设备</w:t>
      </w:r>
      <w:r>
        <w:rPr>
          <w:rFonts w:hint="eastAsia"/>
        </w:rPr>
        <w:t>测量岸线位置（以平均大潮高潮线为识别标志）和滩面高程，高程记录精度不低于厘米级。现场同步记录冲刷沟槽长度、侵蚀陡坎高度及岸滩整体形态变化，并拍摄岸滩形态照片。</w:t>
      </w:r>
    </w:p>
    <w:p w14:paraId="67E68EFF">
      <w:pPr>
        <w:pStyle w:val="77"/>
        <w:bidi w:val="0"/>
        <w:rPr>
          <w:rFonts w:hint="eastAsia"/>
        </w:rPr>
      </w:pPr>
      <w:r>
        <w:rPr>
          <w:rFonts w:hint="eastAsia"/>
        </w:rPr>
        <w:t>汇总岸线后退速率和滩面下蚀速率，分别按年际差值计算（岸线后退速率单位m/a，下蚀速率单位cm/a）；沟槽长度及陡坎高度直接采用现场量测值。</w:t>
      </w:r>
    </w:p>
    <w:bookmarkEnd w:id="233"/>
    <w:bookmarkEnd w:id="234"/>
    <w:bookmarkEnd w:id="235"/>
    <w:bookmarkEnd w:id="236"/>
    <w:bookmarkEnd w:id="237"/>
    <w:bookmarkEnd w:id="238"/>
    <w:bookmarkEnd w:id="239"/>
    <w:p w14:paraId="0467EA9D">
      <w:pPr>
        <w:pStyle w:val="22"/>
        <w:bidi w:val="0"/>
      </w:pPr>
      <w:bookmarkStart w:id="240" w:name="_Toc192847365"/>
      <w:bookmarkStart w:id="241" w:name="_Toc192847312"/>
      <w:bookmarkStart w:id="242" w:name="_Toc192845360"/>
      <w:bookmarkStart w:id="243" w:name="_Toc192846452"/>
      <w:bookmarkStart w:id="244" w:name="_Toc192846387"/>
      <w:bookmarkStart w:id="245" w:name="_Toc8224"/>
      <w:bookmarkStart w:id="246" w:name="_Toc192845332"/>
      <w:r>
        <w:rPr>
          <w:rFonts w:hint="eastAsia"/>
        </w:rPr>
        <w:t>潮间带滩面砂质情况</w:t>
      </w:r>
    </w:p>
    <w:p w14:paraId="17F6E0FA">
      <w:pPr>
        <w:pStyle w:val="77"/>
        <w:bidi w:val="0"/>
        <w:rPr>
          <w:rFonts w:hint="eastAsia"/>
        </w:rPr>
      </w:pPr>
      <w:r>
        <w:rPr>
          <w:rFonts w:hint="eastAsia"/>
        </w:rPr>
        <w:t>潮间带滩面砂质情况调查采用断面采样法，按</w:t>
      </w:r>
      <w:r>
        <w:rPr>
          <w:rFonts w:hint="eastAsia"/>
          <w:lang w:val="en-US" w:eastAsia="zh-CN"/>
        </w:rPr>
        <w:t>照</w:t>
      </w:r>
      <w:r>
        <w:rPr>
          <w:rFonts w:hint="eastAsia"/>
        </w:rPr>
        <w:t>HY/T 0460.8-2024</w:t>
      </w:r>
      <w:r>
        <w:rPr>
          <w:rFonts w:hint="eastAsia"/>
          <w:lang w:val="en-US" w:eastAsia="zh-CN"/>
        </w:rPr>
        <w:t>中</w:t>
      </w:r>
      <w:r>
        <w:rPr>
          <w:rFonts w:hint="eastAsia"/>
        </w:rPr>
        <w:t>规定执行，沉积物采集、处理及粒度分析</w:t>
      </w:r>
      <w:r>
        <w:rPr>
          <w:rFonts w:hint="eastAsia"/>
          <w:lang w:val="en-US" w:eastAsia="zh-CN"/>
        </w:rPr>
        <w:t>按</w:t>
      </w:r>
      <w:r>
        <w:rPr>
          <w:rFonts w:hint="eastAsia"/>
        </w:rPr>
        <w:t>照GB/T 12763.8-2007</w:t>
      </w:r>
      <w:r>
        <w:rPr>
          <w:rFonts w:hint="eastAsia"/>
          <w:lang w:val="en-US" w:eastAsia="zh-CN"/>
        </w:rPr>
        <w:t>中</w:t>
      </w:r>
      <w:r>
        <w:rPr>
          <w:rFonts w:hint="eastAsia"/>
          <w:lang w:eastAsia="zh-CN"/>
        </w:rPr>
        <w:t>规定执行</w:t>
      </w:r>
      <w:r>
        <w:rPr>
          <w:rFonts w:hint="eastAsia"/>
        </w:rPr>
        <w:t>。</w:t>
      </w:r>
    </w:p>
    <w:p w14:paraId="7F59E4C7">
      <w:pPr>
        <w:pStyle w:val="77"/>
        <w:bidi w:val="0"/>
        <w:rPr>
          <w:rFonts w:hint="eastAsia"/>
        </w:rPr>
      </w:pPr>
      <w:r>
        <w:rPr>
          <w:rFonts w:hint="eastAsia"/>
        </w:rPr>
        <w:t>沿代表性岸段布设固定监测断面，每个断面在高潮带、中潮带、低潮带分别设置沉积物采样站位。</w:t>
      </w:r>
    </w:p>
    <w:p w14:paraId="3412FFF2">
      <w:pPr>
        <w:pStyle w:val="77"/>
        <w:bidi w:val="0"/>
        <w:rPr>
          <w:rFonts w:hint="eastAsia"/>
        </w:rPr>
      </w:pPr>
      <w:r>
        <w:rPr>
          <w:rFonts w:hint="eastAsia"/>
        </w:rPr>
        <w:t>现场同步记录沉积物颜色、气味、板结层厚度、淤泥质夹层发育情况，并拍摄滩面全景及沉积物特征照片。</w:t>
      </w:r>
    </w:p>
    <w:bookmarkEnd w:id="240"/>
    <w:bookmarkEnd w:id="241"/>
    <w:bookmarkEnd w:id="242"/>
    <w:bookmarkEnd w:id="243"/>
    <w:bookmarkEnd w:id="244"/>
    <w:bookmarkEnd w:id="245"/>
    <w:bookmarkEnd w:id="246"/>
    <w:p w14:paraId="061339C2">
      <w:pPr>
        <w:pStyle w:val="19"/>
        <w:spacing w:before="312" w:after="312"/>
        <w:rPr>
          <w:rFonts w:hint="eastAsia"/>
          <w:color w:val="auto"/>
          <w:highlight w:val="none"/>
        </w:rPr>
      </w:pPr>
      <w:bookmarkStart w:id="247" w:name="_Toc18225"/>
      <w:bookmarkStart w:id="248" w:name="_Toc3353"/>
      <w:bookmarkStart w:id="249" w:name="_Toc31264"/>
      <w:r>
        <w:rPr>
          <w:rFonts w:hint="eastAsia"/>
          <w:color w:val="auto"/>
          <w:highlight w:val="none"/>
        </w:rPr>
        <w:t>技术质量控制</w:t>
      </w:r>
      <w:bookmarkEnd w:id="247"/>
      <w:bookmarkEnd w:id="248"/>
      <w:bookmarkEnd w:id="249"/>
    </w:p>
    <w:p w14:paraId="49212A30">
      <w:pPr>
        <w:pStyle w:val="20"/>
        <w:ind w:firstLine="420"/>
        <w:rPr>
          <w:color w:val="auto"/>
          <w:highlight w:val="none"/>
        </w:rPr>
      </w:pPr>
      <w:r>
        <w:rPr>
          <w:rFonts w:hint="eastAsia"/>
          <w:color w:val="auto"/>
          <w:highlight w:val="none"/>
        </w:rPr>
        <w:t>质量控制按照</w:t>
      </w:r>
      <w:r>
        <w:rPr>
          <w:rFonts w:hint="eastAsia"/>
        </w:rPr>
        <w:t>T/</w:t>
      </w:r>
      <w:r>
        <w:rPr>
          <w:rFonts w:hint="eastAsia"/>
          <w:color w:val="auto"/>
          <w:lang w:val="en-US" w:eastAsia="zh-CN"/>
        </w:rPr>
        <w:t>GXAS</w:t>
      </w:r>
      <w:r>
        <w:rPr>
          <w:rFonts w:hint="eastAsia"/>
        </w:rPr>
        <w:t xml:space="preserve"> ××.1-××</w:t>
      </w:r>
      <w:r>
        <w:rPr>
          <w:rFonts w:hint="eastAsia"/>
          <w:color w:val="auto"/>
          <w:highlight w:val="none"/>
        </w:rPr>
        <w:t>中第8章规定执行。</w:t>
      </w:r>
    </w:p>
    <w:p w14:paraId="2BF4F068">
      <w:pPr>
        <w:pStyle w:val="19"/>
        <w:spacing w:before="312" w:after="312"/>
        <w:rPr>
          <w:rFonts w:hint="eastAsia"/>
          <w:color w:val="auto"/>
          <w:highlight w:val="none"/>
        </w:rPr>
      </w:pPr>
      <w:bookmarkStart w:id="250" w:name="_Toc192846435"/>
      <w:bookmarkStart w:id="251" w:name="_Toc192845344"/>
      <w:bookmarkStart w:id="252" w:name="_Toc15523"/>
      <w:bookmarkStart w:id="253" w:name="_Toc192847347"/>
      <w:bookmarkStart w:id="254" w:name="_Toc192846370"/>
      <w:bookmarkStart w:id="255" w:name="_Toc23496"/>
      <w:bookmarkStart w:id="256" w:name="_Toc192845303"/>
      <w:bookmarkStart w:id="257" w:name="_Toc9089"/>
      <w:bookmarkStart w:id="258" w:name="_Toc192847294"/>
      <w:bookmarkStart w:id="259" w:name="_Toc25173"/>
      <w:r>
        <w:rPr>
          <w:rFonts w:hint="eastAsia"/>
          <w:color w:val="auto"/>
          <w:highlight w:val="none"/>
        </w:rPr>
        <w:t>成果要求</w:t>
      </w:r>
      <w:bookmarkEnd w:id="250"/>
      <w:bookmarkEnd w:id="251"/>
      <w:bookmarkEnd w:id="252"/>
      <w:bookmarkEnd w:id="253"/>
      <w:bookmarkEnd w:id="254"/>
      <w:bookmarkEnd w:id="255"/>
      <w:bookmarkEnd w:id="256"/>
      <w:bookmarkEnd w:id="257"/>
      <w:bookmarkEnd w:id="258"/>
      <w:bookmarkEnd w:id="259"/>
    </w:p>
    <w:p w14:paraId="2AC8EE06">
      <w:pPr>
        <w:pStyle w:val="20"/>
        <w:ind w:firstLine="420"/>
        <w:rPr>
          <w:color w:val="auto"/>
          <w:highlight w:val="none"/>
        </w:rPr>
      </w:pPr>
      <w:r>
        <w:rPr>
          <w:rFonts w:hint="eastAsia"/>
          <w:color w:val="auto"/>
          <w:highlight w:val="none"/>
        </w:rPr>
        <w:t>成果要求按照</w:t>
      </w:r>
      <w:r>
        <w:rPr>
          <w:rFonts w:hint="eastAsia"/>
        </w:rPr>
        <w:t>T/</w:t>
      </w:r>
      <w:r>
        <w:rPr>
          <w:rFonts w:hint="eastAsia"/>
          <w:color w:val="auto"/>
          <w:lang w:val="en-US" w:eastAsia="zh-CN"/>
        </w:rPr>
        <w:t>GXAS</w:t>
      </w:r>
      <w:r>
        <w:rPr>
          <w:rFonts w:hint="eastAsia"/>
        </w:rPr>
        <w:t xml:space="preserve"> ×.1×-××</w:t>
      </w:r>
      <w:r>
        <w:rPr>
          <w:rFonts w:hint="eastAsia"/>
          <w:color w:val="auto"/>
          <w:highlight w:val="none"/>
        </w:rPr>
        <w:t>中第9章规定执行。</w:t>
      </w:r>
    </w:p>
    <w:p w14:paraId="23143FF5">
      <w:pPr>
        <w:pStyle w:val="20"/>
        <w:ind w:firstLine="0" w:firstLineChars="0"/>
        <w:jc w:val="center"/>
        <w:rPr>
          <w:color w:val="auto"/>
          <w:highlight w:val="none"/>
        </w:rPr>
      </w:pPr>
    </w:p>
    <w:p w14:paraId="47D2CD66">
      <w:pPr>
        <w:pStyle w:val="20"/>
        <w:ind w:firstLine="420"/>
        <w:rPr>
          <w:color w:val="auto"/>
          <w:highlight w:val="none"/>
        </w:rPr>
      </w:pPr>
    </w:p>
    <w:p w14:paraId="0771E432">
      <w:pPr>
        <w:pStyle w:val="18"/>
        <w:rPr>
          <w:rFonts w:hint="eastAsia"/>
          <w:color w:val="auto"/>
          <w:highlight w:val="none"/>
        </w:rPr>
      </w:pPr>
    </w:p>
    <w:p w14:paraId="24744A6D">
      <w:pPr>
        <w:pStyle w:val="18"/>
        <w:rPr>
          <w:rFonts w:hint="eastAsia"/>
          <w:color w:val="auto"/>
          <w:highlight w:val="none"/>
        </w:rPr>
        <w:sectPr>
          <w:headerReference r:id="rId17" w:type="default"/>
          <w:footerReference r:id="rId19" w:type="default"/>
          <w:headerReference r:id="rId18" w:type="even"/>
          <w:footerReference r:id="rId20" w:type="even"/>
          <w:pgSz w:w="11906" w:h="16838"/>
          <w:pgMar w:top="1928" w:right="1134" w:bottom="1134" w:left="1134" w:header="1417" w:footer="1134" w:gutter="283"/>
          <w:pgNumType w:start="1"/>
          <w:cols w:space="720" w:num="1"/>
          <w:formProt w:val="0"/>
          <w:docGrid w:type="lines" w:linePitch="312" w:charSpace="0"/>
        </w:sectPr>
      </w:pPr>
    </w:p>
    <w:p w14:paraId="08D2059E">
      <w:pPr>
        <w:pStyle w:val="93"/>
        <w:rPr>
          <w:rFonts w:hint="eastAsia"/>
        </w:rPr>
      </w:pPr>
      <w:bookmarkStart w:id="260" w:name="mbookmark70"/>
    </w:p>
    <w:p w14:paraId="277F66A1">
      <w:pPr>
        <w:pStyle w:val="102"/>
        <w:rPr>
          <w:rFonts w:hint="eastAsia"/>
        </w:rPr>
      </w:pPr>
    </w:p>
    <w:p w14:paraId="0D047989">
      <w:pPr>
        <w:pStyle w:val="91"/>
        <w:rPr>
          <w:rFonts w:hint="eastAsia"/>
        </w:rPr>
      </w:pPr>
      <w:bookmarkStart w:id="261" w:name="_Toc8351"/>
      <w:bookmarkStart w:id="262" w:name="_Toc1019"/>
      <w:bookmarkStart w:id="263" w:name="_Toc29635"/>
      <w:bookmarkStart w:id="264" w:name="_Toc2506"/>
      <w:r>
        <w:rPr>
          <w:rFonts w:hint="eastAsia"/>
        </w:rPr>
        <w:br w:type="textWrapping"/>
      </w:r>
      <w:r>
        <w:rPr>
          <w:rFonts w:hint="eastAsia"/>
        </w:rPr>
        <w:t>（资料性）</w:t>
      </w:r>
      <w:r>
        <w:rPr>
          <w:rFonts w:hint="eastAsia"/>
        </w:rPr>
        <w:br w:type="textWrapping"/>
      </w:r>
      <w:r>
        <w:rPr>
          <w:rFonts w:hint="eastAsia"/>
          <w:lang w:val="en-US" w:eastAsia="zh-CN"/>
        </w:rPr>
        <w:t>砂</w:t>
      </w:r>
      <w:r>
        <w:rPr>
          <w:rFonts w:hint="eastAsia"/>
        </w:rPr>
        <w:t>质岸线潮间带发育剖面示意图</w:t>
      </w:r>
      <w:bookmarkEnd w:id="261"/>
      <w:bookmarkEnd w:id="262"/>
      <w:bookmarkEnd w:id="263"/>
      <w:bookmarkEnd w:id="264"/>
    </w:p>
    <w:p w14:paraId="445EF68B">
      <w:pPr>
        <w:pStyle w:val="28"/>
        <w:spacing w:line="240" w:lineRule="auto"/>
        <w:ind w:firstLine="0" w:firstLineChars="0"/>
        <w:rPr>
          <w:rFonts w:hint="eastAsia"/>
        </w:rPr>
      </w:pPr>
      <w:r>
        <w:drawing>
          <wp:inline distT="0" distB="0" distL="114300" distR="114300">
            <wp:extent cx="6160770" cy="2951480"/>
            <wp:effectExtent l="0" t="0" r="1143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0"/>
                    <a:stretch>
                      <a:fillRect/>
                    </a:stretch>
                  </pic:blipFill>
                  <pic:spPr>
                    <a:xfrm>
                      <a:off x="0" y="0"/>
                      <a:ext cx="6160770" cy="2951480"/>
                    </a:xfrm>
                    <a:prstGeom prst="rect">
                      <a:avLst/>
                    </a:prstGeom>
                    <a:noFill/>
                    <a:ln>
                      <a:noFill/>
                    </a:ln>
                  </pic:spPr>
                </pic:pic>
              </a:graphicData>
            </a:graphic>
          </wp:inline>
        </w:drawing>
      </w:r>
    </w:p>
    <w:p w14:paraId="497B3D26">
      <w:pPr>
        <w:pStyle w:val="28"/>
        <w:ind w:firstLine="420"/>
        <w:jc w:val="center"/>
        <w:rPr>
          <w:rFonts w:hint="eastAsia"/>
        </w:rPr>
      </w:pPr>
    </w:p>
    <w:bookmarkEnd w:id="260"/>
    <w:p w14:paraId="6424D7A3">
      <w:pPr>
        <w:pStyle w:val="28"/>
        <w:ind w:firstLine="420"/>
        <w:jc w:val="center"/>
        <w:rPr>
          <w:rFonts w:hint="eastAsia"/>
        </w:rPr>
        <w:sectPr>
          <w:headerReference r:id="rId21" w:type="default"/>
          <w:footerReference r:id="rId23" w:type="default"/>
          <w:headerReference r:id="rId22" w:type="even"/>
          <w:footerReference r:id="rId24" w:type="even"/>
          <w:pgSz w:w="11906" w:h="16838"/>
          <w:pgMar w:top="1928" w:right="1134" w:bottom="1134" w:left="1134" w:header="1417" w:footer="1134" w:gutter="283"/>
          <w:cols w:space="720" w:num="1"/>
          <w:formProt w:val="0"/>
          <w:docGrid w:type="lines" w:linePitch="312" w:charSpace="0"/>
        </w:sectPr>
      </w:pPr>
    </w:p>
    <w:p w14:paraId="7CB02BCD">
      <w:pPr>
        <w:pStyle w:val="106"/>
        <w:bidi w:val="0"/>
        <w:rPr>
          <w:rFonts w:hint="eastAsia"/>
          <w:lang w:eastAsia="zh-CN"/>
        </w:rPr>
      </w:pPr>
      <w:bookmarkStart w:id="265" w:name="_Toc19872"/>
      <w:bookmarkStart w:id="266" w:name="_Toc4654"/>
      <w:bookmarkStart w:id="267" w:name="mbookmark80"/>
      <w:r>
        <w:rPr>
          <w:rFonts w:hint="eastAsia"/>
          <w:lang w:eastAsia="zh-CN"/>
        </w:rPr>
        <w:t>参 考 文 献</w:t>
      </w:r>
      <w:bookmarkEnd w:id="265"/>
      <w:bookmarkEnd w:id="266"/>
    </w:p>
    <w:p w14:paraId="6748D431">
      <w:pPr>
        <w:numPr>
          <w:ilvl w:val="0"/>
          <w:numId w:val="38"/>
        </w:numPr>
        <w:adjustRightInd w:val="0"/>
        <w:snapToGrid w:val="0"/>
        <w:spacing w:line="360" w:lineRule="auto"/>
        <w:ind w:left="425" w:leftChars="0" w:hanging="425" w:firstLineChars="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自然资源部办公厅. 关于开展全国海岸线修测工作的通知：自然资办函〔2019〕1187号（含《全国海岸线修测技术规程》）</w:t>
      </w:r>
    </w:p>
    <w:p w14:paraId="10510943">
      <w:pPr>
        <w:pStyle w:val="108"/>
        <w:widowControl w:val="0"/>
        <w:numPr>
          <w:ilvl w:val="0"/>
          <w:numId w:val="0"/>
        </w:numPr>
        <w:tabs>
          <w:tab w:val="clear" w:pos="210"/>
        </w:tabs>
        <w:bidi w:val="0"/>
        <w:jc w:val="left"/>
        <w:rPr>
          <w:rFonts w:hint="eastAsia"/>
          <w:lang w:eastAsia="zh-CN"/>
        </w:rPr>
      </w:pPr>
    </w:p>
    <w:p w14:paraId="686C039C">
      <w:pPr>
        <w:pStyle w:val="108"/>
        <w:widowControl w:val="0"/>
        <w:numPr>
          <w:ilvl w:val="0"/>
          <w:numId w:val="0"/>
        </w:numPr>
        <w:tabs>
          <w:tab w:val="clear" w:pos="210"/>
        </w:tabs>
        <w:bidi w:val="0"/>
        <w:jc w:val="center"/>
        <w:rPr>
          <w:rFonts w:hint="eastAsia"/>
          <w:lang w:eastAsia="zh-CN"/>
        </w:rPr>
      </w:pPr>
      <w:r>
        <w:rPr>
          <w:rFonts w:hint="eastAsia"/>
          <w:lang w:eastAsia="zh-CN"/>
        </w:rPr>
        <w:drawing>
          <wp:inline distT="0" distB="0" distL="114300" distR="114300">
            <wp:extent cx="1487170" cy="316865"/>
            <wp:effectExtent l="0" t="0" r="17780" b="6985"/>
            <wp:docPr id="2" name="图片 2" descr="en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ndline"/>
                    <pic:cNvPicPr>
                      <a:picLocks noChangeAspect="1"/>
                    </pic:cNvPicPr>
                  </pic:nvPicPr>
                  <pic:blipFill>
                    <a:blip r:embed="rId31"/>
                    <a:stretch>
                      <a:fillRect/>
                    </a:stretch>
                  </pic:blipFill>
                  <pic:spPr>
                    <a:xfrm>
                      <a:off x="0" y="0"/>
                      <a:ext cx="1487170" cy="316865"/>
                    </a:xfrm>
                    <a:prstGeom prst="rect">
                      <a:avLst/>
                    </a:prstGeom>
                    <a:noFill/>
                    <a:ln>
                      <a:noFill/>
                    </a:ln>
                  </pic:spPr>
                </pic:pic>
              </a:graphicData>
            </a:graphic>
          </wp:inline>
        </w:drawing>
      </w:r>
    </w:p>
    <w:p w14:paraId="5D6C03EA">
      <w:pPr>
        <w:pStyle w:val="28"/>
        <w:ind w:firstLine="420"/>
        <w:jc w:val="center"/>
        <w:rPr>
          <w:rFonts w:hint="eastAsia"/>
        </w:rPr>
      </w:pPr>
    </w:p>
    <w:bookmarkEnd w:id="267"/>
    <w:p w14:paraId="18417BC4">
      <w:pPr>
        <w:pStyle w:val="18"/>
      </w:pPr>
    </w:p>
    <w:sectPr>
      <w:headerReference r:id="rId25" w:type="default"/>
      <w:footerReference r:id="rId27" w:type="default"/>
      <w:headerReference r:id="rId26" w:type="even"/>
      <w:footerReference r:id="rId28" w:type="even"/>
      <w:pgSz w:w="11906" w:h="16838"/>
      <w:pgMar w:top="1928" w:right="1134" w:bottom="1134" w:left="1134" w:header="1417" w:footer="1134" w:gutter="283"/>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15D43">
    <w:pPr>
      <w:pStyle w:val="111"/>
      <w:bidi w:val="0"/>
    </w:pPr>
    <w:r>
      <w:fldChar w:fldCharType="begin"/>
    </w:r>
    <w:r>
      <w:instrText xml:space="preserve"> PAGE   \* Roman </w:instrText>
    </w:r>
    <w:r>
      <w:fldChar w:fldCharType="separate"/>
    </w:r>
    <w:r>
      <w:t>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28261">
    <w:pPr>
      <w:pStyle w:val="111"/>
      <w:bidi w:val="0"/>
    </w:pPr>
    <w:r>
      <w:fldChar w:fldCharType="begin"/>
    </w:r>
    <w:r>
      <w:instrText xml:space="preserve"> PAGE   \* Arabic </w:instrText>
    </w:r>
    <w:r>
      <w:fldChar w:fldCharType="separate"/>
    </w:r>
    <w: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BEFE4">
    <w:pPr>
      <w:pStyle w:val="112"/>
      <w:rPr>
        <w:rFonts w:hint="eastAsia" w:cs="宋体"/>
      </w:rPr>
    </w:pPr>
    <w:r>
      <w:fldChar w:fldCharType="begin"/>
    </w:r>
    <w:r>
      <w:instrText xml:space="preserve"> PAGE   \* Arabic </w:instrText>
    </w:r>
    <w:r>
      <w:fldChar w:fldCharType="separate"/>
    </w:r>
    <w: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DA88D">
    <w:pPr>
      <w:pStyle w:val="111"/>
      <w:bidi w:val="0"/>
    </w:pPr>
    <w:r>
      <w:fldChar w:fldCharType="begin"/>
    </w:r>
    <w:r>
      <w:instrText xml:space="preserve"> PAGE   \* Arabic </w:instrText>
    </w:r>
    <w:r>
      <w:fldChar w:fldCharType="separate"/>
    </w:r>
    <w:r>
      <w:t>7</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559B7">
    <w:pPr>
      <w:pStyle w:val="112"/>
      <w:rPr>
        <w:rFonts w:hint="eastAsia" w:cs="宋体"/>
      </w:rPr>
    </w:pPr>
    <w:r>
      <w:fldChar w:fldCharType="begin"/>
    </w:r>
    <w:r>
      <w:instrText xml:space="preserve"> PAGE   \* Arabic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83AA2">
    <w:pPr>
      <w:pStyle w:val="6"/>
    </w:pPr>
    <w:r>
      <w:fldChar w:fldCharType="begin"/>
    </w:r>
    <w:r>
      <w:instrText xml:space="preserve"> PAGE   \* Roman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2A763">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CCEA5">
    <w:pPr>
      <w:pStyle w:val="111"/>
      <w:bidi w:val="0"/>
    </w:pPr>
    <w:r>
      <w:fldChar w:fldCharType="begin"/>
    </w:r>
    <w:r>
      <w:instrText xml:space="preserve"> PAGE   \* Arabic </w:instrText>
    </w:r>
    <w:r>
      <w:fldChar w:fldCharType="separate"/>
    </w:r>
    <w: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B201F">
    <w:pPr>
      <w:pStyle w:val="112"/>
      <w:rPr>
        <w:rFonts w:cs="宋体"/>
      </w:rPr>
    </w:pPr>
    <w:r>
      <w:fldChar w:fldCharType="begin"/>
    </w:r>
    <w:r>
      <w:instrText xml:space="preserve"> PAGE   \* Arabic </w:instrText>
    </w:r>
    <w:r>
      <w:fldChar w:fldCharType="separate"/>
    </w:r>
    <w: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4C2F5">
    <w:pPr>
      <w:pStyle w:val="111"/>
      <w:bidi w:val="0"/>
    </w:pPr>
    <w:r>
      <w:fldChar w:fldCharType="begin"/>
    </w:r>
    <w:r>
      <w:instrText xml:space="preserve"> PAGE   \* Arabic </w:instrText>
    </w:r>
    <w:r>
      <w:fldChar w:fldCharType="separate"/>
    </w:r>
    <w: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95307">
    <w:pPr>
      <w:pStyle w:val="6"/>
    </w:pPr>
    <w:r>
      <w:fldChar w:fldCharType="begin"/>
    </w:r>
    <w:r>
      <w:instrText xml:space="preserve"> PAGE   \* Arabic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5E1DC">
    <w:pPr>
      <w:pStyle w:val="111"/>
      <w:bidi w:val="0"/>
    </w:pPr>
    <w:r>
      <w:fldChar w:fldCharType="begin"/>
    </w:r>
    <w:r>
      <w:instrText xml:space="preserve"> PAGE   \* Arabic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A0158">
    <w:pPr>
      <w:pStyle w:val="112"/>
      <w:rPr>
        <w:rFonts w:hint="eastAsia" w:cs="宋体"/>
      </w:rPr>
    </w:pPr>
    <w:r>
      <w:fldChar w:fldCharType="begin"/>
    </w:r>
    <w:r>
      <w:instrText xml:space="preserve"> PAGE   \* Arabic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DB1A">
    <w:pPr>
      <w:widowControl/>
      <w:ind w:left="1680" w:firstLine="420"/>
      <w:jc w:val="right"/>
      <w:rPr>
        <w:rFonts w:hint="eastAsia" w:ascii="黑体" w:hAnsi="黑体" w:eastAsia="黑体" w:cs="黑体"/>
        <w:sz w:val="21"/>
        <w:lang w:eastAsia="zh-CN"/>
      </w:rPr>
    </w:pPr>
    <w:r>
      <w:rPr>
        <w:rFonts w:hint="eastAsia" w:ascii="黑体" w:hAnsi="黑体" w:eastAsia="黑体" w:cs="黑体"/>
        <w:sz w:val="21"/>
        <w:lang w:eastAsia="zh-CN"/>
      </w:rPr>
      <w:t>T/GXAS .4-</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BC039">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.4-</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7975E">
    <w:pPr>
      <w:widowControl/>
      <w:jc w:val="left"/>
      <w:rPr>
        <w:rFonts w:hint="eastAsia" w:ascii="黑体" w:hAnsi="黑体" w:eastAsia="黑体" w:cs="黑体"/>
        <w:sz w:val="21"/>
        <w:lang w:eastAsia="zh-CN"/>
      </w:rPr>
    </w:pPr>
    <w:r>
      <w:rPr>
        <w:rFonts w:hint="eastAsia" w:ascii="黑体" w:hAnsi="黑体" w:eastAsia="黑体" w:cs="黑体"/>
        <w:sz w:val="21"/>
        <w:lang w:eastAsia="zh-CN"/>
      </w:rPr>
      <w:t>T/GXAS .4-</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CF33D">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.4-</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1A1DE">
    <w:pPr>
      <w:widowControl/>
      <w:jc w:val="left"/>
      <w:rPr>
        <w:rFonts w:hint="eastAsia" w:ascii="黑体" w:hAnsi="黑体" w:eastAsia="黑体" w:cs="黑体"/>
        <w:sz w:val="21"/>
        <w:lang w:eastAsia="zh-CN"/>
      </w:rPr>
    </w:pPr>
    <w:r>
      <w:rPr>
        <w:rFonts w:hint="eastAsia" w:ascii="黑体" w:hAnsi="黑体" w:eastAsia="黑体" w:cs="黑体"/>
        <w:sz w:val="21"/>
        <w:lang w:eastAsia="zh-CN"/>
      </w:rPr>
      <w:t>T/GXAS .4-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81DDF">
    <w:pPr>
      <w:widowControl/>
      <w:jc w:val="right"/>
      <w:rPr>
        <w:rFonts w:hint="eastAsia" w:eastAsia="宋体"/>
        <w:lang w:eastAsia="zh-CN"/>
      </w:rPr>
    </w:pPr>
    <w:r>
      <w:rPr>
        <w:rFonts w:hint="eastAsia"/>
        <w:sz w:val="21"/>
        <w:lang w:eastAsia="zh-CN"/>
      </w:rPr>
      <w:t>T/GXAS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7A319">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8B034">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52EB1">
    <w:pPr>
      <w:widowControl/>
      <w:jc w:val="left"/>
      <w:rPr>
        <w:rFonts w:hint="eastAsia" w:ascii="黑体" w:hAnsi="黑体" w:eastAsia="黑体" w:cs="黑体"/>
        <w:sz w:val="21"/>
        <w:lang w:eastAsia="zh-CN"/>
      </w:rPr>
    </w:pPr>
    <w:r>
      <w:rPr>
        <w:rFonts w:hint="eastAsia" w:ascii="黑体" w:hAnsi="黑体" w:eastAsia="黑体" w:cs="黑体"/>
        <w:sz w:val="21"/>
        <w:lang w:eastAsia="zh-CN"/>
      </w:rPr>
      <w:t>T/GXAS .4-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E46F2">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B8B2F">
    <w:pPr>
      <w:widowControl/>
      <w:jc w:val="left"/>
      <w:rPr>
        <w:rFonts w:hint="eastAsia" w:ascii="黑体" w:hAnsi="黑体" w:eastAsia="黑体" w:cs="黑体"/>
        <w:sz w:val="21"/>
        <w:lang w:eastAsia="zh-CN"/>
      </w:rPr>
    </w:pPr>
    <w:r>
      <w:rPr>
        <w:rFonts w:hint="eastAsia" w:ascii="黑体" w:hAnsi="黑体" w:eastAsia="黑体" w:cs="黑体"/>
        <w:sz w:val="21"/>
        <w:lang w:eastAsia="zh-CN"/>
      </w:rPr>
      <w:t>T/GXAS .4-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D2339">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2D73F">
    <w:pPr>
      <w:widowControl/>
      <w:jc w:val="left"/>
      <w:rPr>
        <w:rFonts w:hint="eastAsia" w:ascii="黑体" w:hAnsi="黑体" w:eastAsia="黑体" w:cs="黑体"/>
        <w:sz w:val="21"/>
        <w:lang w:eastAsia="zh-CN"/>
      </w:rPr>
    </w:pPr>
    <w:r>
      <w:rPr>
        <w:rFonts w:hint="eastAsia" w:ascii="黑体" w:hAnsi="黑体" w:eastAsia="黑体" w:cs="黑体"/>
        <w:sz w:val="21"/>
        <w:lang w:eastAsia="zh-CN"/>
      </w:rPr>
      <w:t>T/GXAS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4CE69"/>
    <w:multiLevelType w:val="multilevel"/>
    <w:tmpl w:val="9894CE69"/>
    <w:lvl w:ilvl="0" w:tentative="0">
      <w:start w:val="1"/>
      <w:numFmt w:val="decimal"/>
      <w:pStyle w:val="113"/>
      <w:lvlText w:val="%1"/>
      <w:lvlJc w:val="left"/>
      <w:pPr>
        <w:ind w:left="425" w:hanging="425"/>
      </w:pPr>
      <w:rPr>
        <w:rFonts w:hint="default"/>
      </w:rPr>
    </w:lvl>
    <w:lvl w:ilvl="1" w:tentative="0">
      <w:start w:val="1"/>
      <w:numFmt w:val="decimal"/>
      <w:pStyle w:val="114"/>
      <w:suff w:val="nothing"/>
      <w:lvlText w:val="0.%2 "/>
      <w:lvlJc w:val="left"/>
      <w:pPr>
        <w:tabs>
          <w:tab w:val="left" w:pos="420"/>
        </w:tabs>
        <w:ind w:left="0" w:firstLine="0"/>
      </w:pPr>
      <w:rPr>
        <w:rFonts w:hint="default" w:ascii="黑体" w:hAnsi="等线" w:eastAsia="黑体"/>
        <w:b w:val="0"/>
        <w:i w:val="0"/>
        <w:sz w:val="21"/>
      </w:rPr>
    </w:lvl>
    <w:lvl w:ilvl="2" w:tentative="0">
      <w:start w:val="1"/>
      <w:numFmt w:val="decimal"/>
      <w:pStyle w:val="115"/>
      <w:suff w:val="nothing"/>
      <w:lvlText w:val="0.%2.%3 "/>
      <w:lvlJc w:val="left"/>
      <w:pPr>
        <w:ind w:left="0" w:firstLine="0"/>
      </w:pPr>
      <w:rPr>
        <w:rFonts w:hint="default" w:ascii="黑体" w:hAnsi="等线" w:eastAsia="黑体"/>
        <w:b w:val="0"/>
        <w:i w:val="0"/>
        <w:sz w:val="21"/>
      </w:rPr>
    </w:lvl>
    <w:lvl w:ilvl="3" w:tentative="0">
      <w:start w:val="1"/>
      <w:numFmt w:val="decimal"/>
      <w:pStyle w:val="116"/>
      <w:suff w:val="nothing"/>
      <w:lvlText w:val="0.%2.%3.%4 "/>
      <w:lvlJc w:val="left"/>
      <w:pPr>
        <w:ind w:left="0" w:firstLine="0"/>
      </w:pPr>
      <w:rPr>
        <w:rFonts w:hint="default" w:ascii="黑体" w:hAnsi="等线" w:eastAsia="黑体"/>
        <w:b w:val="0"/>
        <w:i w:val="0"/>
        <w:sz w:val="21"/>
      </w:rPr>
    </w:lvl>
    <w:lvl w:ilvl="4" w:tentative="0">
      <w:start w:val="1"/>
      <w:numFmt w:val="decimal"/>
      <w:pStyle w:val="117"/>
      <w:suff w:val="nothing"/>
      <w:lvlText w:val="0.%2.%3.%4.%5 "/>
      <w:lvlJc w:val="left"/>
      <w:pPr>
        <w:ind w:left="0" w:firstLine="0"/>
      </w:pPr>
      <w:rPr>
        <w:rFonts w:hint="default" w:ascii="黑体" w:hAnsi="等线" w:eastAsia="黑体"/>
        <w:b w:val="0"/>
        <w:i w:val="0"/>
        <w:sz w:val="21"/>
      </w:rPr>
    </w:lvl>
    <w:lvl w:ilvl="5" w:tentative="0">
      <w:start w:val="1"/>
      <w:numFmt w:val="decimal"/>
      <w:pStyle w:val="118"/>
      <w:suff w:val="nothing"/>
      <w:lvlText w:val="0.%2.%3.%4.%5.%6 "/>
      <w:lvlJc w:val="left"/>
      <w:pPr>
        <w:ind w:left="0" w:firstLine="0"/>
      </w:pPr>
      <w:rPr>
        <w:rFonts w:hint="default"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A50204C2"/>
    <w:multiLevelType w:val="multilevel"/>
    <w:tmpl w:val="A50204C2"/>
    <w:lvl w:ilvl="0" w:tentative="0">
      <w:start w:val="1"/>
      <w:numFmt w:val="decimal"/>
      <w:pStyle w:val="44"/>
      <w:suff w:val="nothing"/>
      <w:lvlText w:val="图%1　"/>
      <w:lvlJc w:val="left"/>
      <w:pPr>
        <w:tabs>
          <w:tab w:val="left" w:pos="0"/>
        </w:tabs>
        <w:ind w:left="0" w:firstLine="0"/>
      </w:pPr>
      <w:rPr>
        <w:rFonts w:hint="default" w:ascii="黑体" w:hAnsi="黑体" w:eastAsia="黑体"/>
        <w:sz w:val="21"/>
        <w:szCs w:val="21"/>
      </w:rPr>
    </w:lvl>
    <w:lvl w:ilvl="1" w:tentative="0">
      <w:start w:val="1"/>
      <w:numFmt w:val="decimal"/>
      <w:lvlText w:val="%1.%2.　"/>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A56D2D0B"/>
    <w:multiLevelType w:val="multilevel"/>
    <w:tmpl w:val="A56D2D0B"/>
    <w:lvl w:ilvl="0" w:tentative="0">
      <w:start w:val="1"/>
      <w:numFmt w:val="upperLetter"/>
      <w:pStyle w:val="94"/>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A84F9002"/>
    <w:multiLevelType w:val="singleLevel"/>
    <w:tmpl w:val="A84F9002"/>
    <w:lvl w:ilvl="0" w:tentative="0">
      <w:start w:val="1"/>
      <w:numFmt w:val="decimal"/>
      <w:pStyle w:val="107"/>
      <w:lvlText w:val="[%1]"/>
      <w:lvlJc w:val="left"/>
      <w:pPr>
        <w:tabs>
          <w:tab w:val="left" w:pos="210"/>
        </w:tabs>
        <w:ind w:left="0" w:firstLine="420"/>
      </w:pPr>
      <w:rPr>
        <w:rFonts w:hint="default" w:ascii="Calibri" w:hAnsi="Calibri" w:eastAsia="宋体" w:cs="Times New Roman"/>
        <w:sz w:val="20"/>
      </w:rPr>
    </w:lvl>
  </w:abstractNum>
  <w:abstractNum w:abstractNumId="4">
    <w:nsid w:val="B7CEBBB4"/>
    <w:multiLevelType w:val="singleLevel"/>
    <w:tmpl w:val="B7CEBBB4"/>
    <w:lvl w:ilvl="0" w:tentative="0">
      <w:start w:val="1"/>
      <w:numFmt w:val="decimal"/>
      <w:lvlText w:val="[%1]"/>
      <w:lvlJc w:val="left"/>
      <w:pPr>
        <w:tabs>
          <w:tab w:val="left" w:pos="420"/>
        </w:tabs>
        <w:ind w:left="425" w:hanging="425"/>
      </w:pPr>
      <w:rPr>
        <w:rFonts w:hint="default"/>
      </w:rPr>
    </w:lvl>
  </w:abstractNum>
  <w:abstractNum w:abstractNumId="5">
    <w:nsid w:val="C7CE1163"/>
    <w:multiLevelType w:val="multilevel"/>
    <w:tmpl w:val="C7CE1163"/>
    <w:lvl w:ilvl="0" w:tentative="0">
      <w:start w:val="1"/>
      <w:numFmt w:val="lowerLetter"/>
      <w:pStyle w:val="48"/>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outline w:val="0"/>
        <w:shadow w:val="0"/>
        <w:emboss w:val="0"/>
        <w:imprint w:val="0"/>
        <w:vanish w:val="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6">
    <w:nsid w:val="E12ABC61"/>
    <w:multiLevelType w:val="multilevel"/>
    <w:tmpl w:val="E12ABC61"/>
    <w:lvl w:ilvl="0" w:tentative="0">
      <w:start w:val="1"/>
      <w:numFmt w:val="decimal"/>
      <w:pStyle w:val="38"/>
      <w:suff w:val="nothing"/>
      <w:lvlText w:val="表%1　"/>
      <w:lvlJc w:val="left"/>
      <w:pPr>
        <w:tabs>
          <w:tab w:val="left" w:pos="0"/>
        </w:tabs>
        <w:ind w:left="0" w:firstLine="0"/>
      </w:pPr>
      <w:rPr>
        <w:rFonts w:hint="default" w:ascii="黑体" w:hAnsi="黑体" w:eastAsia="黑体"/>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ECFB7E7B"/>
    <w:multiLevelType w:val="multilevel"/>
    <w:tmpl w:val="ECFB7E7B"/>
    <w:lvl w:ilvl="0" w:tentative="0">
      <w:start w:val="1"/>
      <w:numFmt w:val="upperLetter"/>
      <w:pStyle w:val="101"/>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F1692120"/>
    <w:multiLevelType w:val="multilevel"/>
    <w:tmpl w:val="F1692120"/>
    <w:lvl w:ilvl="0" w:tentative="0">
      <w:start w:val="1"/>
      <w:numFmt w:val="decimal"/>
      <w:pStyle w:val="49"/>
      <w:lvlText w:val="%1)"/>
      <w:lvlJc w:val="left"/>
      <w:pPr>
        <w:tabs>
          <w:tab w:val="left" w:pos="1446"/>
        </w:tabs>
        <w:ind w:left="1276" w:hanging="425"/>
      </w:pPr>
      <w:rPr>
        <w:rFonts w:hint="eastAsia" w:ascii="宋体" w:hAnsi="Times New Roman" w:eastAsia="宋体" w:cs="Times New Roman"/>
        <w:sz w:val="21"/>
        <w:lang w:eastAsia="zh-CN"/>
      </w:rPr>
    </w:lvl>
    <w:lvl w:ilvl="1" w:tentative="0">
      <w:start w:val="1"/>
      <w:numFmt w:val="decimal"/>
      <w:lvlText w:val="%1.%2"/>
      <w:lvlJc w:val="left"/>
      <w:pPr>
        <w:tabs>
          <w:tab w:val="left" w:pos="1134"/>
        </w:tabs>
        <w:ind w:left="1644" w:hanging="510"/>
      </w:pPr>
      <w:rPr>
        <w:rFonts w:hint="eastAsia"/>
      </w:rPr>
    </w:lvl>
    <w:lvl w:ilvl="2" w:tentative="0">
      <w:start w:val="1"/>
      <w:numFmt w:val="decimal"/>
      <w:lvlText w:val="%1.%2.%3"/>
      <w:lvlJc w:val="left"/>
      <w:pPr>
        <w:tabs>
          <w:tab w:val="left" w:pos="1134"/>
        </w:tabs>
        <w:ind w:left="1644" w:hanging="510"/>
      </w:pPr>
      <w:rPr>
        <w:rFonts w:hint="eastAsia"/>
      </w:rPr>
    </w:lvl>
    <w:lvl w:ilvl="3" w:tentative="0">
      <w:start w:val="1"/>
      <w:numFmt w:val="decimal"/>
      <w:lvlText w:val="%1.%2.%3.%4"/>
      <w:lvlJc w:val="left"/>
      <w:pPr>
        <w:tabs>
          <w:tab w:val="left" w:pos="1134"/>
        </w:tabs>
        <w:ind w:left="1644" w:hanging="510"/>
      </w:pPr>
      <w:rPr>
        <w:rFonts w:hint="eastAsia"/>
      </w:rPr>
    </w:lvl>
    <w:lvl w:ilvl="4" w:tentative="0">
      <w:start w:val="1"/>
      <w:numFmt w:val="decimal"/>
      <w:lvlText w:val="%1.%2.%3.%4.%5"/>
      <w:lvlJc w:val="left"/>
      <w:pPr>
        <w:tabs>
          <w:tab w:val="left" w:pos="1134"/>
        </w:tabs>
        <w:ind w:left="1644" w:hanging="510"/>
      </w:pPr>
      <w:rPr>
        <w:rFonts w:hint="eastAsia"/>
      </w:rPr>
    </w:lvl>
    <w:lvl w:ilvl="5" w:tentative="0">
      <w:start w:val="1"/>
      <w:numFmt w:val="decimal"/>
      <w:lvlText w:val="%1.%2.%3.%4.%5.%6"/>
      <w:lvlJc w:val="left"/>
      <w:pPr>
        <w:tabs>
          <w:tab w:val="left" w:pos="1134"/>
        </w:tabs>
        <w:ind w:left="1644" w:hanging="510"/>
      </w:pPr>
      <w:rPr>
        <w:rFonts w:hint="eastAsia"/>
      </w:rPr>
    </w:lvl>
    <w:lvl w:ilvl="6" w:tentative="0">
      <w:start w:val="1"/>
      <w:numFmt w:val="decimal"/>
      <w:lvlText w:val="%1.%2.%3.%4.%5.%6.%7"/>
      <w:lvlJc w:val="left"/>
      <w:pPr>
        <w:tabs>
          <w:tab w:val="left" w:pos="1134"/>
        </w:tabs>
        <w:ind w:left="1644" w:hanging="510"/>
      </w:pPr>
      <w:rPr>
        <w:rFonts w:hint="eastAsia"/>
      </w:rPr>
    </w:lvl>
    <w:lvl w:ilvl="7" w:tentative="0">
      <w:start w:val="1"/>
      <w:numFmt w:val="decimal"/>
      <w:lvlText w:val="%1.%2.%3.%4.%5.%6.%7.%8"/>
      <w:lvlJc w:val="left"/>
      <w:pPr>
        <w:tabs>
          <w:tab w:val="left" w:pos="1134"/>
        </w:tabs>
        <w:ind w:left="1644" w:hanging="510"/>
      </w:pPr>
      <w:rPr>
        <w:rFonts w:hint="eastAsia"/>
      </w:rPr>
    </w:lvl>
    <w:lvl w:ilvl="8" w:tentative="0">
      <w:start w:val="1"/>
      <w:numFmt w:val="decimal"/>
      <w:lvlText w:val="%1.%2.%3.%4.%5.%6.%7.%8.%9"/>
      <w:lvlJc w:val="left"/>
      <w:pPr>
        <w:tabs>
          <w:tab w:val="left" w:pos="1134"/>
        </w:tabs>
        <w:ind w:left="1644" w:hanging="510"/>
      </w:pPr>
      <w:rPr>
        <w:rFonts w:hint="eastAsia"/>
      </w:rPr>
    </w:lvl>
  </w:abstractNum>
  <w:abstractNum w:abstractNumId="9">
    <w:nsid w:val="F9FE1514"/>
    <w:multiLevelType w:val="multilevel"/>
    <w:tmpl w:val="F9FE1514"/>
    <w:lvl w:ilvl="0" w:tentative="0">
      <w:start w:val="1"/>
      <w:numFmt w:val="upperLetter"/>
      <w:pStyle w:val="99"/>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FB2684B3"/>
    <w:multiLevelType w:val="multilevel"/>
    <w:tmpl w:val="FB2684B3"/>
    <w:lvl w:ilvl="0" w:tentative="0">
      <w:start w:val="1"/>
      <w:numFmt w:val="upperLetter"/>
      <w:pStyle w:val="91"/>
      <w:suff w:val="nothing"/>
      <w:lvlText w:val="附录%1"/>
      <w:lvlJc w:val="left"/>
      <w:pPr>
        <w:tabs>
          <w:tab w:val="left" w:pos="0"/>
        </w:tabs>
        <w:ind w:left="0" w:firstLine="0"/>
      </w:pPr>
      <w:rPr>
        <w:rFonts w:hint="default" w:ascii="黑体" w:eastAsia="黑体"/>
        <w:b w:val="0"/>
        <w:i w:val="0"/>
        <w:spacing w:val="102"/>
        <w:sz w:val="21"/>
      </w:rPr>
    </w:lvl>
    <w:lvl w:ilvl="1" w:tentative="0">
      <w:start w:val="1"/>
      <w:numFmt w:val="decimal"/>
      <w:pStyle w:val="30"/>
      <w:suff w:val="nothing"/>
      <w:lvlText w:val="%1.%2　"/>
      <w:lvlJc w:val="left"/>
      <w:pPr>
        <w:tabs>
          <w:tab w:val="left" w:pos="0"/>
        </w:tabs>
        <w:ind w:left="0" w:firstLine="0"/>
      </w:pPr>
      <w:rPr>
        <w:rFonts w:hint="default" w:ascii="黑体" w:eastAsia="黑体"/>
        <w:b w:val="0"/>
        <w:i w:val="0"/>
        <w:sz w:val="21"/>
        <w:szCs w:val="21"/>
      </w:rPr>
    </w:lvl>
    <w:lvl w:ilvl="2" w:tentative="0">
      <w:start w:val="1"/>
      <w:numFmt w:val="decimal"/>
      <w:pStyle w:val="31"/>
      <w:suff w:val="nothing"/>
      <w:lvlText w:val="%1.%2.%3　"/>
      <w:lvlJc w:val="left"/>
      <w:pPr>
        <w:tabs>
          <w:tab w:val="left" w:pos="0"/>
        </w:tabs>
        <w:ind w:left="0" w:firstLine="0"/>
      </w:pPr>
      <w:rPr>
        <w:rFonts w:hint="default" w:ascii="黑体" w:eastAsia="黑体"/>
        <w:b w:val="0"/>
        <w:i w:val="0"/>
        <w:sz w:val="21"/>
      </w:rPr>
    </w:lvl>
    <w:lvl w:ilvl="3" w:tentative="0">
      <w:start w:val="1"/>
      <w:numFmt w:val="decimal"/>
      <w:pStyle w:val="32"/>
      <w:suff w:val="nothing"/>
      <w:lvlText w:val="%1.%2.%3.%4　"/>
      <w:lvlJc w:val="left"/>
      <w:pPr>
        <w:tabs>
          <w:tab w:val="left" w:pos="0"/>
        </w:tabs>
        <w:ind w:left="0" w:firstLine="0"/>
      </w:pPr>
      <w:rPr>
        <w:rFonts w:hint="default" w:ascii="黑体" w:eastAsia="黑体"/>
        <w:b w:val="0"/>
        <w:i w:val="0"/>
        <w:sz w:val="21"/>
      </w:rPr>
    </w:lvl>
    <w:lvl w:ilvl="4" w:tentative="0">
      <w:start w:val="1"/>
      <w:numFmt w:val="decimal"/>
      <w:pStyle w:val="33"/>
      <w:suff w:val="nothing"/>
      <w:lvlText w:val="%1.%2.%3.%4.%5　"/>
      <w:lvlJc w:val="left"/>
      <w:pPr>
        <w:tabs>
          <w:tab w:val="left" w:pos="0"/>
        </w:tabs>
        <w:ind w:left="0" w:firstLine="0"/>
      </w:pPr>
      <w:rPr>
        <w:rFonts w:hint="default" w:ascii="黑体" w:eastAsia="黑体"/>
        <w:b w:val="0"/>
        <w:i w:val="0"/>
        <w:sz w:val="21"/>
      </w:rPr>
    </w:lvl>
    <w:lvl w:ilvl="5" w:tentative="0">
      <w:start w:val="1"/>
      <w:numFmt w:val="decimal"/>
      <w:pStyle w:val="34"/>
      <w:suff w:val="nothing"/>
      <w:lvlText w:val="%1.%2.%3.%4.%5.%6　"/>
      <w:lvlJc w:val="left"/>
      <w:pPr>
        <w:tabs>
          <w:tab w:val="left" w:pos="0"/>
        </w:tabs>
        <w:ind w:left="0" w:firstLine="0"/>
      </w:pPr>
      <w:rPr>
        <w:rFonts w:hint="default" w:ascii="黑体" w:eastAsia="黑体"/>
        <w:b w:val="0"/>
        <w:i w:val="0"/>
        <w:sz w:val="21"/>
      </w:rPr>
    </w:lvl>
    <w:lvl w:ilvl="6" w:tentative="0">
      <w:start w:val="1"/>
      <w:numFmt w:val="decimal"/>
      <w:suff w:val="nothing"/>
      <w:lvlText w:val="%1.%2.%3.%4.%5.%6.%7　"/>
      <w:lvlJc w:val="left"/>
      <w:pPr>
        <w:tabs>
          <w:tab w:val="left" w:pos="0"/>
        </w:tabs>
        <w:ind w:left="0" w:firstLine="0"/>
      </w:pPr>
      <w:rPr>
        <w:rFonts w:hint="default"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1">
    <w:nsid w:val="0110DD5C"/>
    <w:multiLevelType w:val="multilevel"/>
    <w:tmpl w:val="0110DD5C"/>
    <w:lvl w:ilvl="0" w:tentative="0">
      <w:start w:val="1"/>
      <w:numFmt w:val="upperLetter"/>
      <w:pStyle w:val="90"/>
      <w:suff w:val="nothing"/>
      <w:lvlText w:val="附录%1"/>
      <w:lvlJc w:val="left"/>
      <w:pPr>
        <w:tabs>
          <w:tab w:val="left" w:pos="420"/>
        </w:tabs>
        <w:ind w:left="0" w:firstLine="0"/>
      </w:pPr>
      <w:rPr>
        <w:rFonts w:hint="default" w:ascii="黑体" w:hAnsi="黑体" w:eastAsia="黑体"/>
        <w:sz w:val="21"/>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2">
    <w:nsid w:val="0C2E1459"/>
    <w:multiLevelType w:val="multilevel"/>
    <w:tmpl w:val="0C2E1459"/>
    <w:lvl w:ilvl="0" w:tentative="0">
      <w:start w:val="1"/>
      <w:numFmt w:val="upperLetter"/>
      <w:pStyle w:val="92"/>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0DA82A87"/>
    <w:multiLevelType w:val="multilevel"/>
    <w:tmpl w:val="0DA82A87"/>
    <w:lvl w:ilvl="0" w:tentative="0">
      <w:start w:val="1"/>
      <w:numFmt w:val="none"/>
      <w:pStyle w:val="53"/>
      <w:suff w:val="nothing"/>
      <w:lvlText w:val="示例："/>
      <w:lvlJc w:val="left"/>
      <w:pPr>
        <w:ind w:left="0" w:firstLine="363"/>
      </w:pPr>
      <w:rPr>
        <w:rFonts w:hint="eastAsia" w:ascii="宋体" w:hAnsi="宋体" w:eastAsia="宋体"/>
        <w:sz w:val="18"/>
        <w:szCs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16AB7A16"/>
    <w:multiLevelType w:val="singleLevel"/>
    <w:tmpl w:val="16AB7A16"/>
    <w:lvl w:ilvl="0" w:tentative="0">
      <w:start w:val="1"/>
      <w:numFmt w:val="lowerLetter"/>
      <w:pStyle w:val="105"/>
      <w:lvlText w:val="%1 "/>
      <w:lvlJc w:val="left"/>
      <w:pPr>
        <w:tabs>
          <w:tab w:val="left" w:pos="539"/>
        </w:tabs>
        <w:ind w:left="539" w:hanging="119"/>
      </w:pPr>
      <w:rPr>
        <w:rFonts w:hint="default"/>
        <w:vertAlign w:val="superscript"/>
      </w:rPr>
    </w:lvl>
  </w:abstractNum>
  <w:abstractNum w:abstractNumId="15">
    <w:nsid w:val="1F3272DF"/>
    <w:multiLevelType w:val="multilevel"/>
    <w:tmpl w:val="1F3272DF"/>
    <w:lvl w:ilvl="0" w:tentative="0">
      <w:start w:val="1"/>
      <w:numFmt w:val="none"/>
      <w:pStyle w:val="51"/>
      <w:lvlText w:val="注："/>
      <w:lvlJc w:val="left"/>
      <w:pPr>
        <w:ind w:left="737" w:hanging="374"/>
      </w:pPr>
      <w:rPr>
        <w:rFonts w:hint="eastAsia" w:ascii="宋体" w:hAnsi="宋体" w:eastAsia="宋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6">
    <w:nsid w:val="215DED4D"/>
    <w:multiLevelType w:val="multilevel"/>
    <w:tmpl w:val="215DED4D"/>
    <w:lvl w:ilvl="0" w:tentative="0">
      <w:start w:val="1"/>
      <w:numFmt w:val="upperLetter"/>
      <w:pStyle w:val="96"/>
      <w:suff w:val="nothing"/>
      <w:lvlText w:val="%1"/>
      <w:lvlJc w:val="left"/>
      <w:pPr>
        <w:tabs>
          <w:tab w:val="left" w:pos="420"/>
        </w:tabs>
        <w:ind w:left="425" w:hanging="425"/>
      </w:pPr>
      <w:rPr>
        <w:rFonts w:hint="default"/>
      </w:rPr>
    </w:lvl>
    <w:lvl w:ilvl="1" w:tentative="0">
      <w:start w:val="1"/>
      <w:numFmt w:val="decimal"/>
      <w:suff w:val="nothing"/>
      <w:lvlText w:val="表%1.%2"/>
      <w:lvlJc w:val="left"/>
      <w:pPr>
        <w:tabs>
          <w:tab w:val="left" w:pos="42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7">
    <w:nsid w:val="24B9E1C0"/>
    <w:multiLevelType w:val="singleLevel"/>
    <w:tmpl w:val="24B9E1C0"/>
    <w:lvl w:ilvl="0" w:tentative="0">
      <w:start w:val="1"/>
      <w:numFmt w:val="lowerLetter"/>
      <w:pStyle w:val="104"/>
      <w:lvlText w:val="%1 "/>
      <w:lvlJc w:val="left"/>
      <w:pPr>
        <w:tabs>
          <w:tab w:val="left" w:pos="539"/>
        </w:tabs>
        <w:ind w:left="539" w:hanging="119"/>
      </w:pPr>
      <w:rPr>
        <w:rFonts w:hint="default"/>
        <w:vertAlign w:val="superscript"/>
      </w:rPr>
    </w:lvl>
  </w:abstractNum>
  <w:abstractNum w:abstractNumId="18">
    <w:nsid w:val="26EF5520"/>
    <w:multiLevelType w:val="multilevel"/>
    <w:tmpl w:val="26EF5520"/>
    <w:lvl w:ilvl="0" w:tentative="0">
      <w:start w:val="1"/>
      <w:numFmt w:val="upperLetter"/>
      <w:pStyle w:val="93"/>
      <w:lvlText w:val="%1"/>
      <w:lvlJc w:val="left"/>
      <w:pPr>
        <w:tabs>
          <w:tab w:val="left" w:pos="420"/>
        </w:tabs>
        <w:ind w:left="425" w:hanging="425"/>
      </w:pPr>
      <w:rPr>
        <w:rFonts w:hint="default"/>
        <w:sz w:val="2"/>
      </w:rPr>
    </w:lvl>
    <w:lvl w:ilvl="1" w:tentative="0">
      <w:start w:val="1"/>
      <w:numFmt w:val="decimal"/>
      <w:pStyle w:val="97"/>
      <w:suff w:val="nothing"/>
      <w:lvlText w:val="表%1.%2　"/>
      <w:lvlJc w:val="left"/>
      <w:pPr>
        <w:tabs>
          <w:tab w:val="left" w:pos="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9">
    <w:nsid w:val="27DBE368"/>
    <w:multiLevelType w:val="multilevel"/>
    <w:tmpl w:val="27DBE368"/>
    <w:lvl w:ilvl="0" w:tentative="0">
      <w:start w:val="1"/>
      <w:numFmt w:val="lowerLetter"/>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vanish w:val="0"/>
        <w:color w:val="000000"/>
        <w:spacing w:val="0"/>
        <w:position w:val="0"/>
        <w:sz w:val="21"/>
        <w:u w:val="none"/>
        <w:vertAlign w:val="baseline"/>
        <w:lang w:eastAsia="zh-CN"/>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20">
    <w:nsid w:val="2C5917C3"/>
    <w:multiLevelType w:val="multilevel"/>
    <w:tmpl w:val="2C5917C3"/>
    <w:lvl w:ilvl="0" w:tentative="0">
      <w:start w:val="1"/>
      <w:numFmt w:val="none"/>
      <w:pStyle w:val="124"/>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1">
    <w:nsid w:val="330E5504"/>
    <w:multiLevelType w:val="multilevel"/>
    <w:tmpl w:val="330E5504"/>
    <w:lvl w:ilvl="0" w:tentative="0">
      <w:start w:val="1"/>
      <w:numFmt w:val="decimal"/>
      <w:pStyle w:val="54"/>
      <w:suff w:val="nothing"/>
      <w:lvlText w:val="示例%1："/>
      <w:lvlJc w:val="left"/>
      <w:pPr>
        <w:ind w:left="0" w:firstLine="363"/>
      </w:pPr>
      <w:rPr>
        <w:rFonts w:hint="eastAsia" w:ascii="宋体" w:hAnsi="宋体" w:eastAsia="宋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3865DF63"/>
    <w:multiLevelType w:val="multilevel"/>
    <w:tmpl w:val="3865DF63"/>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bullet"/>
      <w:pStyle w:val="71"/>
      <w:lvlText w:val=""/>
      <w:lvlJc w:val="left"/>
      <w:pPr>
        <w:ind w:left="1276" w:hanging="425"/>
      </w:pPr>
      <w:rPr>
        <w:rFonts w:hint="default" w:ascii="Wingdings" w:hAnsi="Wingdings" w:cs="Wingdings"/>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3">
    <w:nsid w:val="39CC7EA8"/>
    <w:multiLevelType w:val="multilevel"/>
    <w:tmpl w:val="39CC7EA8"/>
    <w:lvl w:ilvl="0" w:tentative="0">
      <w:start w:val="1"/>
      <w:numFmt w:val="decimal"/>
      <w:pStyle w:val="52"/>
      <w:suff w:val="nothing"/>
      <w:lvlText w:val="注%1："/>
      <w:lvlJc w:val="left"/>
      <w:pPr>
        <w:ind w:left="811" w:hanging="448"/>
      </w:pPr>
      <w:rPr>
        <w:rFonts w:hint="eastAsia" w:ascii="宋体" w:hAnsi="宋体" w:eastAsia="宋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3BBE6533"/>
    <w:multiLevelType w:val="multilevel"/>
    <w:tmpl w:val="3BBE6533"/>
    <w:lvl w:ilvl="0" w:tentative="0">
      <w:start w:val="1"/>
      <w:numFmt w:val="lowerLetter"/>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outline w:val="0"/>
        <w:shadow w:val="0"/>
        <w:emboss w:val="0"/>
        <w:imprint w:val="0"/>
        <w:vanish w:val="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25">
    <w:nsid w:val="3CA542D3"/>
    <w:multiLevelType w:val="multilevel"/>
    <w:tmpl w:val="3CA542D3"/>
    <w:lvl w:ilvl="0" w:tentative="0">
      <w:start w:val="1"/>
      <w:numFmt w:val="none"/>
      <w:pStyle w:val="50"/>
      <w:lvlText w:val="——"/>
      <w:lvlJc w:val="left"/>
      <w:pPr>
        <w:tabs>
          <w:tab w:val="left" w:pos="1911"/>
        </w:tabs>
        <w:ind w:left="851" w:hanging="426"/>
      </w:pPr>
      <w:rPr>
        <w:rFonts w:hint="eastAsia" w:ascii="宋体" w:hAnsi="Times New Roman" w:eastAsia="宋体" w:cs="Times New Roman"/>
        <w:sz w:val="21"/>
        <w:lang w:eastAsia="zh-CN"/>
      </w:rPr>
    </w:lvl>
    <w:lvl w:ilvl="1" w:tentative="0">
      <w:start w:val="1"/>
      <w:numFmt w:val="decimal"/>
      <w:lvlText w:val="%1.%2"/>
      <w:lvlJc w:val="left"/>
      <w:pPr>
        <w:ind w:left="975" w:hanging="567"/>
      </w:pPr>
      <w:rPr>
        <w:rFonts w:hint="eastAsia"/>
      </w:rPr>
    </w:lvl>
    <w:lvl w:ilvl="2" w:tentative="0">
      <w:start w:val="1"/>
      <w:numFmt w:val="decimal"/>
      <w:lvlText w:val="%1.%2.%3"/>
      <w:lvlJc w:val="left"/>
      <w:pPr>
        <w:ind w:left="1401" w:hanging="567"/>
      </w:pPr>
      <w:rPr>
        <w:rFonts w:hint="eastAsia"/>
      </w:rPr>
    </w:lvl>
    <w:lvl w:ilvl="3" w:tentative="0">
      <w:start w:val="1"/>
      <w:numFmt w:val="decimal"/>
      <w:lvlText w:val="%1.%2.%3.%4"/>
      <w:lvlJc w:val="left"/>
      <w:pPr>
        <w:ind w:left="1967" w:hanging="708"/>
      </w:pPr>
      <w:rPr>
        <w:rFonts w:hint="eastAsia"/>
      </w:rPr>
    </w:lvl>
    <w:lvl w:ilvl="4" w:tentative="0">
      <w:start w:val="1"/>
      <w:numFmt w:val="decimal"/>
      <w:lvlText w:val="%1.%2.%3.%4.%5"/>
      <w:lvlJc w:val="left"/>
      <w:pPr>
        <w:ind w:left="2534" w:hanging="850"/>
      </w:pPr>
      <w:rPr>
        <w:rFonts w:hint="eastAsia"/>
      </w:rPr>
    </w:lvl>
    <w:lvl w:ilvl="5" w:tentative="0">
      <w:start w:val="1"/>
      <w:numFmt w:val="decimal"/>
      <w:lvlText w:val="%1.%2.%3.%4.%5.%6"/>
      <w:lvlJc w:val="left"/>
      <w:pPr>
        <w:ind w:left="3243" w:hanging="1134"/>
      </w:pPr>
      <w:rPr>
        <w:rFonts w:hint="eastAsia"/>
      </w:rPr>
    </w:lvl>
    <w:lvl w:ilvl="6" w:tentative="0">
      <w:start w:val="1"/>
      <w:numFmt w:val="decimal"/>
      <w:lvlText w:val="%1.%2.%3.%4.%5.%6.%7"/>
      <w:lvlJc w:val="left"/>
      <w:pPr>
        <w:ind w:left="3810" w:hanging="1276"/>
      </w:pPr>
      <w:rPr>
        <w:rFonts w:hint="eastAsia"/>
      </w:rPr>
    </w:lvl>
    <w:lvl w:ilvl="7" w:tentative="0">
      <w:start w:val="1"/>
      <w:numFmt w:val="decimal"/>
      <w:lvlText w:val="%1.%2.%3.%4.%5.%6.%7.%8"/>
      <w:lvlJc w:val="left"/>
      <w:pPr>
        <w:ind w:left="4377" w:hanging="1418"/>
      </w:pPr>
      <w:rPr>
        <w:rFonts w:hint="eastAsia"/>
      </w:rPr>
    </w:lvl>
    <w:lvl w:ilvl="8" w:tentative="0">
      <w:start w:val="1"/>
      <w:numFmt w:val="decimal"/>
      <w:lvlText w:val="%1.%2.%3.%4.%5.%6.%7.%8.%9"/>
      <w:lvlJc w:val="left"/>
      <w:pPr>
        <w:ind w:left="5085" w:hanging="1700"/>
      </w:pPr>
      <w:rPr>
        <w:rFonts w:hint="eastAsia"/>
      </w:rPr>
    </w:lvl>
  </w:abstractNum>
  <w:abstractNum w:abstractNumId="26">
    <w:nsid w:val="40C012CA"/>
    <w:multiLevelType w:val="multilevel"/>
    <w:tmpl w:val="40C012CA"/>
    <w:lvl w:ilvl="0" w:tentative="0">
      <w:start w:val="1"/>
      <w:numFmt w:val="none"/>
      <w:lvlText w:val="%1"/>
      <w:lvlJc w:val="left"/>
      <w:pPr>
        <w:ind w:left="0" w:firstLine="0"/>
      </w:pPr>
      <w:rPr>
        <w:rFonts w:hint="eastAsia" w:ascii="黑体" w:hAnsi="黑体" w:eastAsia="黑体"/>
        <w:sz w:val="21"/>
      </w:rPr>
    </w:lvl>
    <w:lvl w:ilvl="1" w:tentative="0">
      <w:start w:val="1"/>
      <w:numFmt w:val="decimal"/>
      <w:pStyle w:val="19"/>
      <w:suff w:val="nothing"/>
      <w:lvlText w:val="%2　"/>
      <w:lvlJc w:val="left"/>
      <w:pPr>
        <w:ind w:left="0" w:firstLine="0"/>
      </w:pPr>
      <w:rPr>
        <w:rFonts w:hint="default" w:ascii="黑体" w:eastAsia="黑体"/>
        <w:b w:val="0"/>
        <w:i w:val="0"/>
        <w:sz w:val="21"/>
      </w:rPr>
    </w:lvl>
    <w:lvl w:ilvl="2" w:tentative="0">
      <w:start w:val="1"/>
      <w:numFmt w:val="decimal"/>
      <w:pStyle w:val="21"/>
      <w:suff w:val="nothing"/>
      <w:lvlText w:val="%2.%3　"/>
      <w:lvlJc w:val="left"/>
      <w:pPr>
        <w:ind w:left="0" w:firstLine="0"/>
      </w:pPr>
      <w:rPr>
        <w:rFonts w:hint="default" w:ascii="黑体" w:eastAsia="黑体"/>
        <w:b w:val="0"/>
        <w:i w:val="0"/>
        <w:sz w:val="21"/>
      </w:rPr>
    </w:lvl>
    <w:lvl w:ilvl="3" w:tentative="0">
      <w:start w:val="1"/>
      <w:numFmt w:val="decimal"/>
      <w:pStyle w:val="22"/>
      <w:suff w:val="nothing"/>
      <w:lvlText w:val="%2.%3.%4　"/>
      <w:lvlJc w:val="left"/>
      <w:pPr>
        <w:ind w:left="0" w:firstLine="0"/>
      </w:pPr>
      <w:rPr>
        <w:rFonts w:hint="default" w:ascii="黑体" w:eastAsia="黑体"/>
        <w:b w:val="0"/>
        <w:i w:val="0"/>
        <w:sz w:val="21"/>
      </w:rPr>
    </w:lvl>
    <w:lvl w:ilvl="4" w:tentative="0">
      <w:start w:val="1"/>
      <w:numFmt w:val="decimal"/>
      <w:pStyle w:val="23"/>
      <w:suff w:val="nothing"/>
      <w:lvlText w:val="%2.%3.%4.%5　"/>
      <w:lvlJc w:val="left"/>
      <w:pPr>
        <w:ind w:left="0" w:firstLine="0"/>
      </w:pPr>
      <w:rPr>
        <w:rFonts w:hint="default" w:ascii="黑体" w:eastAsia="黑体"/>
        <w:b w:val="0"/>
        <w:i w:val="0"/>
        <w:sz w:val="21"/>
      </w:rPr>
    </w:lvl>
    <w:lvl w:ilvl="5" w:tentative="0">
      <w:start w:val="1"/>
      <w:numFmt w:val="decimal"/>
      <w:pStyle w:val="24"/>
      <w:suff w:val="nothing"/>
      <w:lvlText w:val="%2.%3.%4.%5.%6　"/>
      <w:lvlJc w:val="left"/>
      <w:pPr>
        <w:ind w:left="0" w:firstLine="0"/>
      </w:pPr>
      <w:rPr>
        <w:rFonts w:hint="default" w:ascii="黑体" w:eastAsia="黑体"/>
        <w:b w:val="0"/>
        <w:i w:val="0"/>
        <w:sz w:val="21"/>
      </w:rPr>
    </w:lvl>
    <w:lvl w:ilvl="6" w:tentative="0">
      <w:start w:val="1"/>
      <w:numFmt w:val="decimal"/>
      <w:pStyle w:val="25"/>
      <w:suff w:val="nothing"/>
      <w:lvlText w:val="%2.%3.%4.%5.%6.%7　"/>
      <w:lvlJc w:val="left"/>
      <w:pPr>
        <w:tabs>
          <w:tab w:val="left" w:pos="0"/>
        </w:tabs>
        <w:ind w:left="0" w:firstLine="0"/>
      </w:pPr>
      <w:rPr>
        <w:rFonts w:hint="default"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7">
    <w:nsid w:val="44C50F90"/>
    <w:multiLevelType w:val="multilevel"/>
    <w:tmpl w:val="44C50F90"/>
    <w:lvl w:ilvl="0" w:tentative="0">
      <w:start w:val="1"/>
      <w:numFmt w:val="lowerLetter"/>
      <w:pStyle w:val="130"/>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8">
    <w:nsid w:val="464A1135"/>
    <w:multiLevelType w:val="singleLevel"/>
    <w:tmpl w:val="464A1135"/>
    <w:lvl w:ilvl="0" w:tentative="0">
      <w:start w:val="1"/>
      <w:numFmt w:val="decimal"/>
      <w:pStyle w:val="108"/>
      <w:lvlText w:val="[%1]"/>
      <w:lvlJc w:val="left"/>
      <w:pPr>
        <w:tabs>
          <w:tab w:val="left" w:pos="210"/>
        </w:tabs>
        <w:ind w:left="0" w:firstLine="420"/>
      </w:pPr>
      <w:rPr>
        <w:rFonts w:hint="default" w:ascii="Calibri" w:hAnsi="Calibri" w:eastAsia="宋体" w:cs="Times New Roman"/>
        <w:sz w:val="20"/>
      </w:rPr>
    </w:lvl>
  </w:abstractNum>
  <w:abstractNum w:abstractNumId="29">
    <w:nsid w:val="4B83245B"/>
    <w:multiLevelType w:val="multilevel"/>
    <w:tmpl w:val="4B83245B"/>
    <w:lvl w:ilvl="0" w:tentative="0">
      <w:start w:val="1"/>
      <w:numFmt w:val="upperLetter"/>
      <w:pStyle w:val="95"/>
      <w:lvlText w:val="%1"/>
      <w:lvlJc w:val="left"/>
      <w:pPr>
        <w:tabs>
          <w:tab w:val="left" w:pos="420"/>
        </w:tabs>
        <w:ind w:left="425" w:hanging="425"/>
      </w:pPr>
      <w:rPr>
        <w:rFonts w:hint="default"/>
      </w:rPr>
    </w:lvl>
    <w:lvl w:ilvl="1" w:tentative="0">
      <w:start w:val="1"/>
      <w:numFmt w:val="decimal"/>
      <w:suff w:val="nothing"/>
      <w:lvlText w:val="%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0">
    <w:nsid w:val="4CC72894"/>
    <w:multiLevelType w:val="multilevel"/>
    <w:tmpl w:val="4CC72894"/>
    <w:lvl w:ilvl="0" w:tentative="0">
      <w:start w:val="1"/>
      <w:numFmt w:val="upperLetter"/>
      <w:suff w:val="nothing"/>
      <w:lvlText w:val="附　录　%1"/>
      <w:lvlJc w:val="left"/>
      <w:pPr>
        <w:ind w:left="0" w:firstLine="0"/>
      </w:pPr>
      <w:rPr>
        <w:rFonts w:hint="eastAsia" w:ascii="黑体" w:eastAsia="黑体"/>
        <w:b w:val="0"/>
        <w:i w:val="0"/>
        <w:sz w:val="21"/>
      </w:rPr>
    </w:lvl>
    <w:lvl w:ilvl="1" w:tentative="0">
      <w:start w:val="1"/>
      <w:numFmt w:val="decimal"/>
      <w:suff w:val="space"/>
      <w:lvlText w:val="%1.%2　"/>
      <w:lvlJc w:val="left"/>
      <w:pPr>
        <w:ind w:left="0" w:firstLine="0"/>
      </w:pPr>
      <w:rPr>
        <w:rFonts w:hint="eastAsia" w:ascii="黑体" w:eastAsia="黑体"/>
        <w:b w:val="0"/>
        <w:i w:val="0"/>
        <w:sz w:val="21"/>
        <w:szCs w:val="21"/>
      </w:rPr>
    </w:lvl>
    <w:lvl w:ilvl="2" w:tentative="0">
      <w:start w:val="1"/>
      <w:numFmt w:val="decimal"/>
      <w:suff w:val="space"/>
      <w:lvlText w:val="%1.%2.%3　"/>
      <w:lvlJc w:val="left"/>
      <w:pPr>
        <w:ind w:left="0" w:firstLine="0"/>
      </w:pPr>
      <w:rPr>
        <w:rFonts w:hint="eastAsia" w:ascii="黑体" w:eastAsia="黑体"/>
        <w:b w:val="0"/>
        <w:i w:val="0"/>
        <w:sz w:val="21"/>
      </w:rPr>
    </w:lvl>
    <w:lvl w:ilvl="3" w:tentative="0">
      <w:start w:val="1"/>
      <w:numFmt w:val="decimal"/>
      <w:suff w:val="space"/>
      <w:lvlText w:val="%1.%2.%3.%4　"/>
      <w:lvlJc w:val="left"/>
      <w:pPr>
        <w:ind w:left="0" w:firstLine="0"/>
      </w:pPr>
      <w:rPr>
        <w:rFonts w:hint="eastAsia" w:ascii="黑体" w:eastAsia="黑体"/>
        <w:b w:val="0"/>
        <w:i w:val="0"/>
        <w:sz w:val="21"/>
      </w:rPr>
    </w:lvl>
    <w:lvl w:ilvl="4" w:tentative="0">
      <w:start w:val="1"/>
      <w:numFmt w:val="decimal"/>
      <w:suff w:val="space"/>
      <w:lvlText w:val="%1.%2.%3.%4.%5　"/>
      <w:lvlJc w:val="left"/>
      <w:pPr>
        <w:ind w:left="0" w:firstLine="0"/>
      </w:pPr>
      <w:rPr>
        <w:rFonts w:hint="eastAsia" w:ascii="黑体" w:eastAsia="黑体"/>
        <w:b w:val="0"/>
        <w:i w:val="0"/>
        <w:sz w:val="21"/>
      </w:rPr>
    </w:lvl>
    <w:lvl w:ilvl="5" w:tentative="0">
      <w:start w:val="1"/>
      <w:numFmt w:val="decimal"/>
      <w:suff w:val="space"/>
      <w:lvlText w:val="%1.%2.%3.%4.%5.%6　"/>
      <w:lvlJc w:val="left"/>
      <w:pPr>
        <w:ind w:left="0" w:firstLine="0"/>
      </w:pPr>
      <w:rPr>
        <w:rFonts w:hint="eastAsia" w:ascii="黑体" w:eastAsia="黑体"/>
        <w:b w:val="0"/>
        <w:i w:val="0"/>
        <w:sz w:val="21"/>
      </w:rPr>
    </w:lvl>
    <w:lvl w:ilvl="6" w:tentative="0">
      <w:start w:val="1"/>
      <w:numFmt w:val="decimal"/>
      <w:suff w:val="space"/>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1">
    <w:nsid w:val="5556CBE2"/>
    <w:multiLevelType w:val="multilevel"/>
    <w:tmpl w:val="5556CBE2"/>
    <w:lvl w:ilvl="0" w:tentative="0">
      <w:start w:val="1"/>
      <w:numFmt w:val="upperLetter"/>
      <w:pStyle w:val="102"/>
      <w:lvlText w:val="%1"/>
      <w:lvlJc w:val="left"/>
      <w:pPr>
        <w:tabs>
          <w:tab w:val="left" w:pos="420"/>
        </w:tabs>
        <w:ind w:left="425" w:hanging="425"/>
      </w:pPr>
      <w:rPr>
        <w:rFonts w:hint="default" w:ascii="黑体" w:hAnsi="黑体" w:eastAsia="黑体"/>
        <w:sz w:val="2"/>
        <w:szCs w:val="2"/>
      </w:rPr>
    </w:lvl>
    <w:lvl w:ilvl="1" w:tentative="0">
      <w:start w:val="1"/>
      <w:numFmt w:val="decimal"/>
      <w:pStyle w:val="103"/>
      <w:suff w:val="nothing"/>
      <w:lvlText w:val="图%1.%2　"/>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2">
    <w:nsid w:val="557C2AF5"/>
    <w:multiLevelType w:val="multilevel"/>
    <w:tmpl w:val="557C2AF5"/>
    <w:lvl w:ilvl="0" w:tentative="0">
      <w:start w:val="1"/>
      <w:numFmt w:val="decimal"/>
      <w:pStyle w:val="12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2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4">
    <w:nsid w:val="646260FA"/>
    <w:multiLevelType w:val="multilevel"/>
    <w:tmpl w:val="646260FA"/>
    <w:lvl w:ilvl="0" w:tentative="0">
      <w:start w:val="1"/>
      <w:numFmt w:val="decimal"/>
      <w:pStyle w:val="12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5">
    <w:nsid w:val="750760B5"/>
    <w:multiLevelType w:val="multilevel"/>
    <w:tmpl w:val="750760B5"/>
    <w:lvl w:ilvl="0" w:tentative="0">
      <w:start w:val="1"/>
      <w:numFmt w:val="upperLetter"/>
      <w:pStyle w:val="100"/>
      <w:lvlText w:val="%1"/>
      <w:lvlJc w:val="left"/>
      <w:pPr>
        <w:tabs>
          <w:tab w:val="left" w:pos="420"/>
        </w:tabs>
        <w:ind w:left="425" w:hanging="425"/>
      </w:pPr>
      <w:rPr>
        <w:rFonts w:hint="default" w:ascii="黑体" w:hAnsi="黑体" w:eastAsia="黑体"/>
        <w:sz w:val="2"/>
        <w:szCs w:val="2"/>
      </w:rPr>
    </w:lvl>
    <w:lvl w:ilvl="1" w:tentative="0">
      <w:start w:val="1"/>
      <w:numFmt w:val="decimal"/>
      <w:suff w:val="nothing"/>
      <w:lvlText w:val="图%1.%2"/>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6">
    <w:nsid w:val="7B524AC7"/>
    <w:multiLevelType w:val="multilevel"/>
    <w:tmpl w:val="7B524AC7"/>
    <w:lvl w:ilvl="0" w:tentative="0">
      <w:start w:val="1"/>
      <w:numFmt w:val="decimal"/>
      <w:pStyle w:val="73"/>
      <w:lvlText w:val="[%1]"/>
      <w:lvlJc w:val="left"/>
      <w:pPr>
        <w:tabs>
          <w:tab w:val="left" w:pos="0"/>
        </w:tabs>
        <w:ind w:left="0" w:firstLine="0"/>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0"/>
    <w:lvlOverride w:ilvl="0">
      <w:lvl w:ilvl="0" w:tentative="1">
        <w:start w:val="1"/>
        <w:numFmt w:val="upperLetter"/>
        <w:pStyle w:val="2"/>
        <w:suff w:val="nothing"/>
        <w:lvlText w:val="附　录　%1"/>
        <w:lvlJc w:val="left"/>
        <w:pPr>
          <w:ind w:left="0" w:firstLine="0"/>
        </w:pPr>
        <w:rPr>
          <w:rFonts w:hint="eastAsia" w:ascii="黑体" w:eastAsia="黑体"/>
          <w:b w:val="0"/>
          <w:i w:val="0"/>
          <w:sz w:val="21"/>
        </w:rPr>
      </w:lvl>
    </w:lvlOverride>
    <w:lvlOverride w:ilvl="1">
      <w:lvl w:ilvl="1" w:tentative="1">
        <w:start w:val="1"/>
        <w:numFmt w:val="decimal"/>
        <w:suff w:val="nothing"/>
        <w:lvlText w:val="%1.%2　"/>
        <w:lvlJc w:val="left"/>
        <w:pPr>
          <w:ind w:left="0" w:firstLine="0"/>
        </w:pPr>
        <w:rPr>
          <w:rFonts w:hint="eastAsia" w:ascii="黑体" w:eastAsia="黑体"/>
          <w:b w:val="0"/>
          <w:i w:val="0"/>
          <w:sz w:val="21"/>
          <w:szCs w:val="21"/>
        </w:rPr>
      </w:lvl>
    </w:lvlOverride>
    <w:lvlOverride w:ilvl="2">
      <w:lvl w:ilvl="2" w:tentative="1">
        <w:start w:val="1"/>
        <w:numFmt w:val="decimal"/>
        <w:suff w:val="nothing"/>
        <w:lvlText w:val="%1.%2.%3　"/>
        <w:lvlJc w:val="left"/>
        <w:pPr>
          <w:ind w:left="0" w:firstLine="0"/>
        </w:pPr>
        <w:rPr>
          <w:rFonts w:hint="eastAsia" w:ascii="黑体" w:eastAsia="黑体"/>
          <w:b w:val="0"/>
          <w:i w:val="0"/>
          <w:sz w:val="21"/>
        </w:rPr>
      </w:lvl>
    </w:lvlOverride>
    <w:lvlOverride w:ilvl="3">
      <w:lvl w:ilvl="3" w:tentative="1">
        <w:start w:val="1"/>
        <w:numFmt w:val="decimal"/>
        <w:suff w:val="nothing"/>
        <w:lvlText w:val="%1.%2.%3.%4　"/>
        <w:lvlJc w:val="left"/>
        <w:pPr>
          <w:ind w:left="0" w:firstLine="0"/>
        </w:pPr>
        <w:rPr>
          <w:rFonts w:hint="eastAsia" w:ascii="黑体" w:eastAsia="黑体"/>
          <w:b w:val="0"/>
          <w:i w:val="0"/>
          <w:sz w:val="21"/>
        </w:rPr>
      </w:lvl>
    </w:lvlOverride>
    <w:lvlOverride w:ilvl="4">
      <w:lvl w:ilvl="4" w:tentative="1">
        <w:start w:val="1"/>
        <w:numFmt w:val="decimal"/>
        <w:suff w:val="nothing"/>
        <w:lvlText w:val="%1.%2.%3.%4.%5　"/>
        <w:lvlJc w:val="left"/>
        <w:pPr>
          <w:ind w:left="0" w:firstLine="0"/>
        </w:pPr>
        <w:rPr>
          <w:rFonts w:hint="eastAsia" w:ascii="黑体" w:eastAsia="黑体"/>
          <w:b w:val="0"/>
          <w:i w:val="0"/>
          <w:sz w:val="21"/>
        </w:rPr>
      </w:lvl>
    </w:lvlOverride>
    <w:lvlOverride w:ilvl="5">
      <w:lvl w:ilvl="5" w:tentative="1">
        <w:start w:val="1"/>
        <w:numFmt w:val="decimal"/>
        <w:suff w:val="nothing"/>
        <w:lvlText w:val="%1.%2.%3.%4.%5.%6　"/>
        <w:lvlJc w:val="left"/>
        <w:pPr>
          <w:ind w:left="0" w:firstLine="0"/>
        </w:pPr>
        <w:rPr>
          <w:rFonts w:hint="eastAsia" w:ascii="黑体" w:eastAsia="黑体"/>
          <w:b w:val="0"/>
          <w:i w:val="0"/>
          <w:sz w:val="21"/>
        </w:rPr>
      </w:lvl>
    </w:lvlOverride>
    <w:lvlOverride w:ilvl="6">
      <w:lvl w:ilvl="6" w:tentative="1">
        <w:start w:val="1"/>
        <w:numFmt w:val="decimal"/>
        <w:suff w:val="nothing"/>
        <w:lvlText w:val="%1.%2.%3.%4.%5.%6.%7　"/>
        <w:lvlJc w:val="left"/>
        <w:pPr>
          <w:ind w:left="0" w:firstLine="0"/>
        </w:pPr>
        <w:rPr>
          <w:rFonts w:hint="eastAsia" w:ascii="黑体" w:eastAsia="黑体"/>
          <w:b w:val="0"/>
          <w:i w:val="0"/>
          <w:sz w:val="21"/>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
    <w:abstractNumId w:val="26"/>
  </w:num>
  <w:num w:numId="3">
    <w:abstractNumId w:val="10"/>
  </w:num>
  <w:num w:numId="4">
    <w:abstractNumId w:val="6"/>
  </w:num>
  <w:num w:numId="5">
    <w:abstractNumId w:val="1"/>
  </w:num>
  <w:num w:numId="6">
    <w:abstractNumId w:val="5"/>
  </w:num>
  <w:num w:numId="7">
    <w:abstractNumId w:val="8"/>
  </w:num>
  <w:num w:numId="8">
    <w:abstractNumId w:val="25"/>
  </w:num>
  <w:num w:numId="9">
    <w:abstractNumId w:val="15"/>
  </w:num>
  <w:num w:numId="10">
    <w:abstractNumId w:val="23"/>
  </w:num>
  <w:num w:numId="11">
    <w:abstractNumId w:val="13"/>
  </w:num>
  <w:num w:numId="12">
    <w:abstractNumId w:val="21"/>
  </w:num>
  <w:num w:numId="13">
    <w:abstractNumId w:val="22"/>
  </w:num>
  <w:num w:numId="14">
    <w:abstractNumId w:val="36"/>
  </w:num>
  <w:num w:numId="15">
    <w:abstractNumId w:val="11"/>
  </w:num>
  <w:num w:numId="16">
    <w:abstractNumId w:val="12"/>
  </w:num>
  <w:num w:numId="17">
    <w:abstractNumId w:val="18"/>
  </w:num>
  <w:num w:numId="18">
    <w:abstractNumId w:val="2"/>
  </w:num>
  <w:num w:numId="19">
    <w:abstractNumId w:val="29"/>
  </w:num>
  <w:num w:numId="20">
    <w:abstractNumId w:val="16"/>
  </w:num>
  <w:num w:numId="21">
    <w:abstractNumId w:val="9"/>
  </w:num>
  <w:num w:numId="22">
    <w:abstractNumId w:val="35"/>
  </w:num>
  <w:num w:numId="23">
    <w:abstractNumId w:val="7"/>
  </w:num>
  <w:num w:numId="24">
    <w:abstractNumId w:val="31"/>
  </w:num>
  <w:num w:numId="25">
    <w:abstractNumId w:val="17"/>
  </w:num>
  <w:num w:numId="26">
    <w:abstractNumId w:val="14"/>
  </w:num>
  <w:num w:numId="27">
    <w:abstractNumId w:val="3"/>
  </w:num>
  <w:num w:numId="28">
    <w:abstractNumId w:val="28"/>
  </w:num>
  <w:num w:numId="29">
    <w:abstractNumId w:val="0"/>
  </w:num>
  <w:num w:numId="30">
    <w:abstractNumId w:val="20"/>
  </w:num>
  <w:num w:numId="31">
    <w:abstractNumId w:val="32"/>
  </w:num>
  <w:num w:numId="32">
    <w:abstractNumId w:val="33"/>
  </w:num>
  <w:num w:numId="33">
    <w:abstractNumId w:val="34"/>
  </w:num>
  <w:num w:numId="34">
    <w:abstractNumId w:val="27"/>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cryptProviderType="rsaFull" w:cryptAlgorithmClass="hash" w:cryptAlgorithmType="typeAny" w:cryptAlgorithmSid="4" w:cryptSpinCount="0" w:hash="TSWpgwKWGEqT8KP5MrIrfRWEF44=" w:salt="r4bX7/i38c3x12DLPJPnQQ=="/>
  <w:defaultTabStop w:val="839"/>
  <w:evenAndOddHeaders w:val="1"/>
  <w:drawingGridHorizontalSpacing w:val="120"/>
  <w:drawingGridVerticalSpacing w:val="163"/>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xZTg5ZWFlM2YwY2Y5ZGFlOGI3MjhkYWExMTMwODEifQ=="/>
  </w:docVars>
  <w:rsids>
    <w:rsidRoot w:val="666345BE"/>
    <w:rsid w:val="00026C19"/>
    <w:rsid w:val="000467A6"/>
    <w:rsid w:val="0007709B"/>
    <w:rsid w:val="00083A38"/>
    <w:rsid w:val="000E6E7F"/>
    <w:rsid w:val="000F6596"/>
    <w:rsid w:val="00104A6D"/>
    <w:rsid w:val="001077E3"/>
    <w:rsid w:val="00112441"/>
    <w:rsid w:val="00127E9F"/>
    <w:rsid w:val="00171196"/>
    <w:rsid w:val="00194161"/>
    <w:rsid w:val="001C572D"/>
    <w:rsid w:val="001C6649"/>
    <w:rsid w:val="001D5975"/>
    <w:rsid w:val="00251D92"/>
    <w:rsid w:val="002606DA"/>
    <w:rsid w:val="002730A9"/>
    <w:rsid w:val="0027345F"/>
    <w:rsid w:val="002868D9"/>
    <w:rsid w:val="002A71D3"/>
    <w:rsid w:val="00324997"/>
    <w:rsid w:val="0033010F"/>
    <w:rsid w:val="00356F54"/>
    <w:rsid w:val="003707AF"/>
    <w:rsid w:val="003B3E20"/>
    <w:rsid w:val="003C2D62"/>
    <w:rsid w:val="003C4255"/>
    <w:rsid w:val="003F1A2D"/>
    <w:rsid w:val="0042161D"/>
    <w:rsid w:val="00423204"/>
    <w:rsid w:val="00432430"/>
    <w:rsid w:val="00447727"/>
    <w:rsid w:val="00485468"/>
    <w:rsid w:val="0049684F"/>
    <w:rsid w:val="00522AC0"/>
    <w:rsid w:val="00531DF8"/>
    <w:rsid w:val="00557725"/>
    <w:rsid w:val="005B4C3D"/>
    <w:rsid w:val="005E676E"/>
    <w:rsid w:val="00602B1A"/>
    <w:rsid w:val="0060687F"/>
    <w:rsid w:val="0063321C"/>
    <w:rsid w:val="006859C7"/>
    <w:rsid w:val="006A483C"/>
    <w:rsid w:val="006B38B0"/>
    <w:rsid w:val="006C63C8"/>
    <w:rsid w:val="006D6280"/>
    <w:rsid w:val="007269A2"/>
    <w:rsid w:val="00764769"/>
    <w:rsid w:val="00797269"/>
    <w:rsid w:val="007A177F"/>
    <w:rsid w:val="007A3816"/>
    <w:rsid w:val="007A776C"/>
    <w:rsid w:val="007C1C81"/>
    <w:rsid w:val="00801B1B"/>
    <w:rsid w:val="00843EBC"/>
    <w:rsid w:val="00855908"/>
    <w:rsid w:val="00881140"/>
    <w:rsid w:val="00887383"/>
    <w:rsid w:val="0089559F"/>
    <w:rsid w:val="008E09B2"/>
    <w:rsid w:val="00944764"/>
    <w:rsid w:val="00954C2D"/>
    <w:rsid w:val="009961E5"/>
    <w:rsid w:val="009A1E2C"/>
    <w:rsid w:val="009B4375"/>
    <w:rsid w:val="009C3896"/>
    <w:rsid w:val="009C6274"/>
    <w:rsid w:val="009D4D17"/>
    <w:rsid w:val="009D5F0E"/>
    <w:rsid w:val="009E4C6D"/>
    <w:rsid w:val="00A0395E"/>
    <w:rsid w:val="00A075EE"/>
    <w:rsid w:val="00A26C73"/>
    <w:rsid w:val="00A5461B"/>
    <w:rsid w:val="00A63C3C"/>
    <w:rsid w:val="00A67ABC"/>
    <w:rsid w:val="00A75214"/>
    <w:rsid w:val="00A825DB"/>
    <w:rsid w:val="00AB4147"/>
    <w:rsid w:val="00B12506"/>
    <w:rsid w:val="00B4707C"/>
    <w:rsid w:val="00B95F4B"/>
    <w:rsid w:val="00BB1D06"/>
    <w:rsid w:val="00BD6992"/>
    <w:rsid w:val="00C3160A"/>
    <w:rsid w:val="00C41267"/>
    <w:rsid w:val="00C60564"/>
    <w:rsid w:val="00C74B08"/>
    <w:rsid w:val="00C81F6E"/>
    <w:rsid w:val="00CC3F78"/>
    <w:rsid w:val="00CD089E"/>
    <w:rsid w:val="00CE3A71"/>
    <w:rsid w:val="00D233C6"/>
    <w:rsid w:val="00D3770B"/>
    <w:rsid w:val="00D377F6"/>
    <w:rsid w:val="00D64D82"/>
    <w:rsid w:val="00DB2900"/>
    <w:rsid w:val="00DD498D"/>
    <w:rsid w:val="00DD658F"/>
    <w:rsid w:val="00E13266"/>
    <w:rsid w:val="00E21053"/>
    <w:rsid w:val="00E43C71"/>
    <w:rsid w:val="00E574E9"/>
    <w:rsid w:val="00E71025"/>
    <w:rsid w:val="00EF1E5F"/>
    <w:rsid w:val="00F32D45"/>
    <w:rsid w:val="00F83E88"/>
    <w:rsid w:val="00F85DD1"/>
    <w:rsid w:val="00FA7D21"/>
    <w:rsid w:val="00FD1ABF"/>
    <w:rsid w:val="00FE0C03"/>
    <w:rsid w:val="00FE305B"/>
    <w:rsid w:val="00FE5661"/>
    <w:rsid w:val="00FE6C83"/>
    <w:rsid w:val="00FF69F7"/>
    <w:rsid w:val="015E5FC5"/>
    <w:rsid w:val="017F4A6C"/>
    <w:rsid w:val="01B51241"/>
    <w:rsid w:val="01DF283A"/>
    <w:rsid w:val="024F28F3"/>
    <w:rsid w:val="05B93FF5"/>
    <w:rsid w:val="06087D7D"/>
    <w:rsid w:val="06C306D8"/>
    <w:rsid w:val="076318C3"/>
    <w:rsid w:val="08157B2F"/>
    <w:rsid w:val="082A2C67"/>
    <w:rsid w:val="083C4C0D"/>
    <w:rsid w:val="0865341A"/>
    <w:rsid w:val="08FE00E5"/>
    <w:rsid w:val="0A164FB8"/>
    <w:rsid w:val="0AC33CDA"/>
    <w:rsid w:val="0C7C14A8"/>
    <w:rsid w:val="0D4E29F1"/>
    <w:rsid w:val="0D797B36"/>
    <w:rsid w:val="0E0F4EE8"/>
    <w:rsid w:val="0E220142"/>
    <w:rsid w:val="0E800841"/>
    <w:rsid w:val="108D3B11"/>
    <w:rsid w:val="110F45BE"/>
    <w:rsid w:val="11AF728B"/>
    <w:rsid w:val="121A48AA"/>
    <w:rsid w:val="13FC0F60"/>
    <w:rsid w:val="1400586E"/>
    <w:rsid w:val="148E19A0"/>
    <w:rsid w:val="14C47369"/>
    <w:rsid w:val="14C7387A"/>
    <w:rsid w:val="14D74140"/>
    <w:rsid w:val="14E00A1D"/>
    <w:rsid w:val="155E67FA"/>
    <w:rsid w:val="15FB027F"/>
    <w:rsid w:val="16ED4262"/>
    <w:rsid w:val="16EF356D"/>
    <w:rsid w:val="170B18A8"/>
    <w:rsid w:val="178E6679"/>
    <w:rsid w:val="17AC6AF3"/>
    <w:rsid w:val="17B65106"/>
    <w:rsid w:val="17D71317"/>
    <w:rsid w:val="1B052CC5"/>
    <w:rsid w:val="1B1710A0"/>
    <w:rsid w:val="1B2E16CE"/>
    <w:rsid w:val="1B5C1C2F"/>
    <w:rsid w:val="1BAF6202"/>
    <w:rsid w:val="1C4F6825"/>
    <w:rsid w:val="1C5D2498"/>
    <w:rsid w:val="1F09673E"/>
    <w:rsid w:val="1F27574E"/>
    <w:rsid w:val="202B7328"/>
    <w:rsid w:val="203431C1"/>
    <w:rsid w:val="20E76EB4"/>
    <w:rsid w:val="21C87CA9"/>
    <w:rsid w:val="21E61CF3"/>
    <w:rsid w:val="23312AC9"/>
    <w:rsid w:val="249646FF"/>
    <w:rsid w:val="24DB798B"/>
    <w:rsid w:val="2500423F"/>
    <w:rsid w:val="25400E57"/>
    <w:rsid w:val="262A12F8"/>
    <w:rsid w:val="266B4515"/>
    <w:rsid w:val="28463832"/>
    <w:rsid w:val="28E6111C"/>
    <w:rsid w:val="290C4C94"/>
    <w:rsid w:val="2A3E688B"/>
    <w:rsid w:val="2C3C5198"/>
    <w:rsid w:val="2ED27DE6"/>
    <w:rsid w:val="2F850CB5"/>
    <w:rsid w:val="302C3E7E"/>
    <w:rsid w:val="30F46FAF"/>
    <w:rsid w:val="3155171C"/>
    <w:rsid w:val="31FD3DEE"/>
    <w:rsid w:val="33EE30E3"/>
    <w:rsid w:val="343E1BBC"/>
    <w:rsid w:val="363C1D08"/>
    <w:rsid w:val="363C7C6C"/>
    <w:rsid w:val="366B505F"/>
    <w:rsid w:val="375D3338"/>
    <w:rsid w:val="377B3B40"/>
    <w:rsid w:val="3847294C"/>
    <w:rsid w:val="39A5703D"/>
    <w:rsid w:val="39C520E2"/>
    <w:rsid w:val="3B7479F7"/>
    <w:rsid w:val="3C17635F"/>
    <w:rsid w:val="3C5F6A31"/>
    <w:rsid w:val="3CA646C8"/>
    <w:rsid w:val="3CB53659"/>
    <w:rsid w:val="405F5F05"/>
    <w:rsid w:val="41715709"/>
    <w:rsid w:val="43211C92"/>
    <w:rsid w:val="436A5D90"/>
    <w:rsid w:val="43BD09BB"/>
    <w:rsid w:val="44945351"/>
    <w:rsid w:val="454E0A49"/>
    <w:rsid w:val="45D02D3E"/>
    <w:rsid w:val="470C286D"/>
    <w:rsid w:val="47165AB6"/>
    <w:rsid w:val="47CA7BC1"/>
    <w:rsid w:val="47F104D4"/>
    <w:rsid w:val="48F403D8"/>
    <w:rsid w:val="4A0E4D5B"/>
    <w:rsid w:val="4C585E2C"/>
    <w:rsid w:val="4C7B756C"/>
    <w:rsid w:val="4D184A42"/>
    <w:rsid w:val="4E761D21"/>
    <w:rsid w:val="4EE021C8"/>
    <w:rsid w:val="505A77E4"/>
    <w:rsid w:val="50753B17"/>
    <w:rsid w:val="510E66B3"/>
    <w:rsid w:val="511B7B18"/>
    <w:rsid w:val="51982498"/>
    <w:rsid w:val="51AD2478"/>
    <w:rsid w:val="51D87EE1"/>
    <w:rsid w:val="534144B7"/>
    <w:rsid w:val="53932DDE"/>
    <w:rsid w:val="55F86221"/>
    <w:rsid w:val="56B0511D"/>
    <w:rsid w:val="57E84794"/>
    <w:rsid w:val="585700CC"/>
    <w:rsid w:val="58B03032"/>
    <w:rsid w:val="58BC0C84"/>
    <w:rsid w:val="58D45546"/>
    <w:rsid w:val="594430E6"/>
    <w:rsid w:val="594C41DC"/>
    <w:rsid w:val="597F7CDB"/>
    <w:rsid w:val="59826A2C"/>
    <w:rsid w:val="59AB3693"/>
    <w:rsid w:val="59FD794F"/>
    <w:rsid w:val="5A46731D"/>
    <w:rsid w:val="5AC711CE"/>
    <w:rsid w:val="5B010A5C"/>
    <w:rsid w:val="5B8B2699"/>
    <w:rsid w:val="5C734E29"/>
    <w:rsid w:val="5CC341C0"/>
    <w:rsid w:val="5D476B3E"/>
    <w:rsid w:val="5F47231D"/>
    <w:rsid w:val="5FA03A07"/>
    <w:rsid w:val="601B4F9B"/>
    <w:rsid w:val="60AF6D84"/>
    <w:rsid w:val="611D5F05"/>
    <w:rsid w:val="61613168"/>
    <w:rsid w:val="61950078"/>
    <w:rsid w:val="628E2E7E"/>
    <w:rsid w:val="643C6DA1"/>
    <w:rsid w:val="647453C3"/>
    <w:rsid w:val="661F1591"/>
    <w:rsid w:val="66277585"/>
    <w:rsid w:val="666345BE"/>
    <w:rsid w:val="66C700BB"/>
    <w:rsid w:val="67670EBA"/>
    <w:rsid w:val="67A54BE1"/>
    <w:rsid w:val="67E22F1D"/>
    <w:rsid w:val="67EA6B3C"/>
    <w:rsid w:val="68276EF5"/>
    <w:rsid w:val="683471B2"/>
    <w:rsid w:val="68420E31"/>
    <w:rsid w:val="68DD0AD1"/>
    <w:rsid w:val="69200173"/>
    <w:rsid w:val="6945317C"/>
    <w:rsid w:val="6C9644B4"/>
    <w:rsid w:val="6D7B3879"/>
    <w:rsid w:val="6DA02093"/>
    <w:rsid w:val="6DDE6CE4"/>
    <w:rsid w:val="6E6A388E"/>
    <w:rsid w:val="6F421542"/>
    <w:rsid w:val="6FB30D6B"/>
    <w:rsid w:val="703F04DB"/>
    <w:rsid w:val="706662F6"/>
    <w:rsid w:val="715D6B54"/>
    <w:rsid w:val="71D1155B"/>
    <w:rsid w:val="72330EA6"/>
    <w:rsid w:val="73D7659E"/>
    <w:rsid w:val="73E700A2"/>
    <w:rsid w:val="74354387"/>
    <w:rsid w:val="74DB2EA9"/>
    <w:rsid w:val="76287114"/>
    <w:rsid w:val="76A7660D"/>
    <w:rsid w:val="77A526B5"/>
    <w:rsid w:val="77B36AA6"/>
    <w:rsid w:val="78D635FC"/>
    <w:rsid w:val="799F326C"/>
    <w:rsid w:val="7A9C1F9D"/>
    <w:rsid w:val="7B4D01D8"/>
    <w:rsid w:val="7CD526A7"/>
    <w:rsid w:val="7D592162"/>
    <w:rsid w:val="7EEB3913"/>
    <w:rsid w:val="7FBF734C"/>
    <w:rsid w:val="7FF24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unhideWhenUsed/>
    <w:qFormat/>
    <w:uiPriority w:val="0"/>
    <w:pPr>
      <w:widowControl w:val="0"/>
      <w:jc w:val="both"/>
    </w:pPr>
    <w:rPr>
      <w:rFonts w:ascii="Times New Roman" w:hAnsi="Times New Roman" w:eastAsia="宋体" w:cstheme="minorBidi"/>
      <w:kern w:val="2"/>
      <w:sz w:val="24"/>
      <w:szCs w:val="21"/>
      <w:lang w:val="en-US" w:eastAsia="zh-CN" w:bidi="ar-SA"/>
    </w:rPr>
  </w:style>
  <w:style w:type="paragraph" w:styleId="2">
    <w:name w:val="heading 1"/>
    <w:link w:val="17"/>
    <w:autoRedefine/>
    <w:unhideWhenUsed/>
    <w:qFormat/>
    <w:uiPriority w:val="9"/>
    <w:pPr>
      <w:keepNext/>
      <w:keepLines/>
      <w:numPr>
        <w:ilvl w:val="0"/>
        <w:numId w:val="1"/>
      </w:numPr>
      <w:spacing w:before="560" w:after="50" w:afterLines="50"/>
      <w:jc w:val="center"/>
      <w:outlineLvl w:val="0"/>
    </w:pPr>
    <w:rPr>
      <w:rFonts w:ascii="Times New Roman" w:hAnsi="Times New Roman" w:eastAsia="黑体" w:cstheme="minorBidi"/>
      <w:bCs/>
      <w:kern w:val="44"/>
      <w:sz w:val="21"/>
      <w:szCs w:val="4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toc 5"/>
    <w:autoRedefine/>
    <w:unhideWhenUsed/>
    <w:qFormat/>
    <w:uiPriority w:val="39"/>
    <w:pPr>
      <w:tabs>
        <w:tab w:val="right" w:leader="middleDot" w:pos="8494"/>
      </w:tabs>
      <w:spacing w:line="300" w:lineRule="exact"/>
      <w:ind w:left="185" w:leftChars="185"/>
    </w:pPr>
    <w:rPr>
      <w:rFonts w:ascii="宋体" w:hAnsi="宋体" w:eastAsia="宋体" w:cs="宋体"/>
      <w:kern w:val="2"/>
      <w:sz w:val="21"/>
      <w:szCs w:val="21"/>
      <w:lang w:val="en-US" w:eastAsia="zh-CN" w:bidi="ar-SA"/>
    </w:rPr>
  </w:style>
  <w:style w:type="paragraph" w:styleId="4">
    <w:name w:val="toc 3"/>
    <w:autoRedefine/>
    <w:unhideWhenUsed/>
    <w:qFormat/>
    <w:uiPriority w:val="39"/>
    <w:pPr>
      <w:tabs>
        <w:tab w:val="right" w:leader="middleDot" w:pos="8494"/>
      </w:tabs>
      <w:spacing w:line="300" w:lineRule="exact"/>
      <w:ind w:left="420"/>
    </w:pPr>
    <w:rPr>
      <w:rFonts w:ascii="Times New Roman" w:hAnsi="Times New Roman" w:eastAsia="宋体" w:cs="宋体"/>
      <w:kern w:val="2"/>
      <w:sz w:val="21"/>
      <w:szCs w:val="21"/>
      <w:lang w:val="en-US" w:eastAsia="zh-CN" w:bidi="ar-SA"/>
    </w:rPr>
  </w:style>
  <w:style w:type="paragraph" w:styleId="5">
    <w:name w:val="Balloon Text"/>
    <w:basedOn w:val="1"/>
    <w:link w:val="27"/>
    <w:autoRedefine/>
    <w:semiHidden/>
    <w:unhideWhenUsed/>
    <w:qFormat/>
    <w:uiPriority w:val="99"/>
    <w:rPr>
      <w:sz w:val="18"/>
      <w:szCs w:val="18"/>
    </w:rPr>
  </w:style>
  <w:style w:type="paragraph" w:styleId="6">
    <w:name w:val="footer"/>
    <w:basedOn w:val="1"/>
    <w:link w:val="64"/>
    <w:autoRedefine/>
    <w:unhideWhenUsed/>
    <w:qFormat/>
    <w:uiPriority w:val="99"/>
    <w:pPr>
      <w:tabs>
        <w:tab w:val="center" w:pos="4153"/>
        <w:tab w:val="right" w:pos="8306"/>
      </w:tabs>
      <w:snapToGrid w:val="0"/>
      <w:jc w:val="left"/>
    </w:pPr>
    <w:rPr>
      <w:rFonts w:ascii="宋体" w:hAnsi="宋体"/>
      <w:sz w:val="18"/>
      <w:szCs w:val="18"/>
    </w:rPr>
  </w:style>
  <w:style w:type="paragraph" w:styleId="7">
    <w:name w:val="header"/>
    <w:basedOn w:val="1"/>
    <w:link w:val="55"/>
    <w:autoRedefine/>
    <w:qFormat/>
    <w:uiPriority w:val="99"/>
    <w:pPr>
      <w:tabs>
        <w:tab w:val="center" w:pos="4153"/>
        <w:tab w:val="right" w:pos="8306"/>
      </w:tabs>
      <w:snapToGrid w:val="0"/>
      <w:jc w:val="center"/>
    </w:pPr>
    <w:rPr>
      <w:rFonts w:ascii="Calibri" w:hAnsi="Calibri" w:cs="Times New Roman"/>
      <w:sz w:val="18"/>
      <w:szCs w:val="18"/>
    </w:rPr>
  </w:style>
  <w:style w:type="paragraph" w:styleId="8">
    <w:name w:val="toc 1"/>
    <w:autoRedefine/>
    <w:unhideWhenUsed/>
    <w:qFormat/>
    <w:uiPriority w:val="39"/>
    <w:pPr>
      <w:tabs>
        <w:tab w:val="right" w:leader="middleDot" w:pos="8494"/>
      </w:tabs>
      <w:spacing w:line="400" w:lineRule="exact"/>
    </w:pPr>
    <w:rPr>
      <w:rFonts w:ascii="宋体" w:hAnsi="宋体" w:eastAsia="宋体" w:cs="宋体"/>
      <w:kern w:val="2"/>
      <w:sz w:val="21"/>
      <w:szCs w:val="21"/>
      <w:lang w:val="en-US" w:eastAsia="zh-CN" w:bidi="ar-SA"/>
    </w:rPr>
  </w:style>
  <w:style w:type="paragraph" w:styleId="9">
    <w:name w:val="toc 4"/>
    <w:autoRedefine/>
    <w:unhideWhenUsed/>
    <w:qFormat/>
    <w:uiPriority w:val="39"/>
    <w:pPr>
      <w:tabs>
        <w:tab w:val="right" w:leader="middleDot" w:pos="8494"/>
      </w:tabs>
      <w:spacing w:line="300" w:lineRule="exact"/>
      <w:ind w:left="629"/>
    </w:pPr>
    <w:rPr>
      <w:rFonts w:ascii="宋体" w:hAnsi="宋体" w:eastAsia="宋体" w:cs="宋体"/>
      <w:kern w:val="2"/>
      <w:sz w:val="21"/>
      <w:szCs w:val="21"/>
      <w:lang w:val="en-US" w:eastAsia="zh-CN" w:bidi="ar-SA"/>
    </w:rPr>
  </w:style>
  <w:style w:type="paragraph" w:styleId="10">
    <w:name w:val="toc 6"/>
    <w:autoRedefine/>
    <w:unhideWhenUsed/>
    <w:qFormat/>
    <w:uiPriority w:val="39"/>
    <w:pPr>
      <w:tabs>
        <w:tab w:val="right" w:leader="middleDot" w:pos="8494"/>
      </w:tabs>
      <w:spacing w:line="300" w:lineRule="exact"/>
      <w:ind w:left="259" w:leftChars="259"/>
    </w:pPr>
    <w:rPr>
      <w:rFonts w:ascii="宋体" w:hAnsi="宋体" w:eastAsia="宋体" w:cs="宋体"/>
      <w:kern w:val="2"/>
      <w:sz w:val="21"/>
      <w:szCs w:val="21"/>
      <w:lang w:val="en-US" w:eastAsia="zh-CN" w:bidi="ar-SA"/>
    </w:rPr>
  </w:style>
  <w:style w:type="paragraph" w:styleId="11">
    <w:name w:val="toc 2"/>
    <w:autoRedefine/>
    <w:unhideWhenUsed/>
    <w:qFormat/>
    <w:uiPriority w:val="39"/>
    <w:pPr>
      <w:tabs>
        <w:tab w:val="right" w:leader="middleDot" w:pos="8494"/>
      </w:tabs>
      <w:spacing w:line="300" w:lineRule="exact"/>
      <w:ind w:left="210"/>
    </w:pPr>
    <w:rPr>
      <w:rFonts w:ascii="宋体" w:hAnsi="宋体" w:eastAsia="宋体" w:cs="宋体"/>
      <w:kern w:val="2"/>
      <w:sz w:val="21"/>
      <w:szCs w:val="21"/>
      <w:lang w:val="en-US" w:eastAsia="zh-CN" w:bidi="ar-SA"/>
    </w:rPr>
  </w:style>
  <w:style w:type="paragraph" w:styleId="12">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14">
    <w:name w:val="Table Grid"/>
    <w:basedOn w:val="13"/>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6">
    <w:name w:val="Hyperlink"/>
    <w:basedOn w:val="15"/>
    <w:autoRedefine/>
    <w:unhideWhenUsed/>
    <w:qFormat/>
    <w:uiPriority w:val="99"/>
    <w:rPr>
      <w:color w:val="0000FF" w:themeColor="hyperlink"/>
      <w:u w:val="single"/>
      <w14:textFill>
        <w14:solidFill>
          <w14:schemeClr w14:val="hlink"/>
        </w14:solidFill>
      </w14:textFill>
    </w:rPr>
  </w:style>
  <w:style w:type="character" w:customStyle="1" w:styleId="17">
    <w:name w:val="标题 1 Char"/>
    <w:basedOn w:val="15"/>
    <w:link w:val="2"/>
    <w:autoRedefine/>
    <w:qFormat/>
    <w:uiPriority w:val="9"/>
    <w:rPr>
      <w:rFonts w:ascii="Times New Roman" w:hAnsi="Times New Roman" w:eastAsia="黑体"/>
      <w:bCs/>
      <w:kern w:val="44"/>
      <w:szCs w:val="44"/>
    </w:rPr>
  </w:style>
  <w:style w:type="paragraph" w:customStyle="1" w:styleId="18">
    <w:name w:val="标准文件_段落"/>
    <w:autoRedefine/>
    <w:qFormat/>
    <w:uiPriority w:val="0"/>
    <w:pPr>
      <w:ind w:firstLine="420" w:firstLineChars="200"/>
    </w:pPr>
    <w:rPr>
      <w:rFonts w:ascii="宋体" w:hAnsi="宋体" w:eastAsia="宋体" w:cstheme="minorBidi"/>
      <w:kern w:val="2"/>
      <w:sz w:val="21"/>
      <w:szCs w:val="21"/>
      <w:lang w:val="en-US" w:eastAsia="zh-CN" w:bidi="ar-SA"/>
    </w:rPr>
  </w:style>
  <w:style w:type="paragraph" w:customStyle="1" w:styleId="19">
    <w:name w:val="标准文件_章标题"/>
    <w:next w:val="20"/>
    <w:link w:val="26"/>
    <w:autoRedefine/>
    <w:qFormat/>
    <w:uiPriority w:val="0"/>
    <w:pPr>
      <w:numPr>
        <w:ilvl w:val="1"/>
        <w:numId w:val="2"/>
      </w:numPr>
      <w:spacing w:before="100" w:beforeLines="100" w:after="100" w:afterLines="100"/>
      <w:outlineLvl w:val="0"/>
    </w:pPr>
    <w:rPr>
      <w:rFonts w:ascii="黑体" w:hAnsi="黑体" w:eastAsia="黑体" w:cstheme="minorBidi"/>
      <w:kern w:val="2"/>
      <w:sz w:val="21"/>
      <w:szCs w:val="21"/>
      <w:lang w:val="en-US" w:eastAsia="zh-CN" w:bidi="ar-SA"/>
    </w:rPr>
  </w:style>
  <w:style w:type="paragraph" w:customStyle="1" w:styleId="20">
    <w:name w:val="标准文件_段"/>
    <w:link w:val="74"/>
    <w:autoRedefine/>
    <w:qFormat/>
    <w:uiPriority w:val="0"/>
    <w:pPr>
      <w:autoSpaceDE w:val="0"/>
      <w:autoSpaceDN w:val="0"/>
      <w:ind w:firstLine="200" w:firstLineChars="200"/>
      <w:jc w:val="both"/>
    </w:pPr>
    <w:rPr>
      <w:rFonts w:ascii="宋体" w:hAnsi="Times New Roman" w:eastAsia="宋体" w:cstheme="minorBidi"/>
      <w:kern w:val="2"/>
      <w:sz w:val="21"/>
      <w:szCs w:val="22"/>
      <w:lang w:val="en-US" w:eastAsia="zh-CN" w:bidi="ar-SA"/>
    </w:rPr>
  </w:style>
  <w:style w:type="paragraph" w:customStyle="1" w:styleId="21">
    <w:name w:val="标准文件_一级条标题"/>
    <w:next w:val="20"/>
    <w:autoRedefine/>
    <w:qFormat/>
    <w:uiPriority w:val="0"/>
    <w:pPr>
      <w:numPr>
        <w:ilvl w:val="2"/>
        <w:numId w:val="2"/>
      </w:numPr>
      <w:tabs>
        <w:tab w:val="left" w:pos="0"/>
      </w:tabs>
      <w:spacing w:before="50" w:beforeLines="50" w:after="50" w:afterLines="50"/>
      <w:outlineLvl w:val="1"/>
    </w:pPr>
    <w:rPr>
      <w:rFonts w:ascii="黑体" w:hAnsi="黑体" w:eastAsia="黑体" w:cstheme="minorBidi"/>
      <w:kern w:val="2"/>
      <w:sz w:val="21"/>
      <w:szCs w:val="21"/>
      <w:lang w:val="en-US" w:eastAsia="zh-CN" w:bidi="ar-SA"/>
    </w:rPr>
  </w:style>
  <w:style w:type="paragraph" w:customStyle="1" w:styleId="22">
    <w:name w:val="标准文件_二级条标题"/>
    <w:next w:val="20"/>
    <w:autoRedefine/>
    <w:qFormat/>
    <w:uiPriority w:val="0"/>
    <w:pPr>
      <w:numPr>
        <w:ilvl w:val="3"/>
        <w:numId w:val="2"/>
      </w:numPr>
      <w:spacing w:before="50" w:beforeLines="50" w:after="50" w:afterLines="50"/>
      <w:outlineLvl w:val="2"/>
    </w:pPr>
    <w:rPr>
      <w:rFonts w:ascii="黑体" w:hAnsi="黑体" w:eastAsia="黑体" w:cstheme="minorBidi"/>
      <w:kern w:val="2"/>
      <w:sz w:val="21"/>
      <w:szCs w:val="21"/>
      <w:lang w:val="en-US" w:eastAsia="zh-CN" w:bidi="ar-SA"/>
    </w:rPr>
  </w:style>
  <w:style w:type="paragraph" w:customStyle="1" w:styleId="23">
    <w:name w:val="标准文件_三级条标题"/>
    <w:next w:val="18"/>
    <w:autoRedefine/>
    <w:qFormat/>
    <w:uiPriority w:val="0"/>
    <w:pPr>
      <w:numPr>
        <w:ilvl w:val="4"/>
        <w:numId w:val="2"/>
      </w:numPr>
      <w:tabs>
        <w:tab w:val="left" w:pos="0"/>
      </w:tabs>
      <w:spacing w:before="50" w:beforeLines="50" w:after="50" w:afterLines="50"/>
      <w:outlineLvl w:val="3"/>
    </w:pPr>
    <w:rPr>
      <w:rFonts w:ascii="黑体" w:hAnsi="黑体" w:eastAsia="黑体" w:cstheme="minorBidi"/>
      <w:kern w:val="2"/>
      <w:sz w:val="21"/>
      <w:szCs w:val="21"/>
      <w:lang w:val="en-US" w:eastAsia="zh-CN" w:bidi="ar-SA"/>
    </w:rPr>
  </w:style>
  <w:style w:type="paragraph" w:customStyle="1" w:styleId="24">
    <w:name w:val="标准文件_四级条标题"/>
    <w:next w:val="18"/>
    <w:autoRedefine/>
    <w:qFormat/>
    <w:uiPriority w:val="0"/>
    <w:pPr>
      <w:numPr>
        <w:ilvl w:val="5"/>
        <w:numId w:val="2"/>
      </w:numPr>
      <w:spacing w:before="50" w:beforeLines="50" w:after="50" w:afterLines="50"/>
      <w:outlineLvl w:val="4"/>
    </w:pPr>
    <w:rPr>
      <w:rFonts w:ascii="黑体" w:hAnsi="黑体" w:eastAsia="黑体" w:cstheme="minorBidi"/>
      <w:kern w:val="2"/>
      <w:sz w:val="21"/>
      <w:szCs w:val="21"/>
      <w:lang w:val="en-US" w:eastAsia="zh-CN" w:bidi="ar-SA"/>
    </w:rPr>
  </w:style>
  <w:style w:type="paragraph" w:customStyle="1" w:styleId="25">
    <w:name w:val="标准文件_五级条标题"/>
    <w:next w:val="18"/>
    <w:autoRedefine/>
    <w:qFormat/>
    <w:uiPriority w:val="0"/>
    <w:pPr>
      <w:numPr>
        <w:ilvl w:val="6"/>
        <w:numId w:val="2"/>
      </w:numPr>
      <w:spacing w:before="50" w:beforeLines="50" w:after="50" w:afterLines="50"/>
      <w:outlineLvl w:val="5"/>
    </w:pPr>
    <w:rPr>
      <w:rFonts w:ascii="黑体" w:hAnsi="黑体" w:eastAsia="黑体" w:cstheme="minorBidi"/>
      <w:kern w:val="2"/>
      <w:sz w:val="21"/>
      <w:szCs w:val="21"/>
      <w:lang w:val="en-US" w:eastAsia="zh-CN" w:bidi="ar-SA"/>
    </w:rPr>
  </w:style>
  <w:style w:type="character" w:customStyle="1" w:styleId="26">
    <w:name w:val="标准文件_章标题 Char"/>
    <w:basedOn w:val="15"/>
    <w:link w:val="19"/>
    <w:autoRedefine/>
    <w:qFormat/>
    <w:uiPriority w:val="0"/>
    <w:rPr>
      <w:rFonts w:ascii="黑体" w:hAnsi="黑体" w:eastAsia="黑体"/>
      <w:szCs w:val="21"/>
    </w:rPr>
  </w:style>
  <w:style w:type="character" w:customStyle="1" w:styleId="27">
    <w:name w:val="批注框文本 Char"/>
    <w:basedOn w:val="15"/>
    <w:link w:val="5"/>
    <w:autoRedefine/>
    <w:semiHidden/>
    <w:qFormat/>
    <w:uiPriority w:val="99"/>
    <w:rPr>
      <w:sz w:val="18"/>
      <w:szCs w:val="18"/>
    </w:rPr>
  </w:style>
  <w:style w:type="paragraph" w:customStyle="1" w:styleId="28">
    <w:name w:val="标准文件_附录段落"/>
    <w:autoRedefine/>
    <w:qFormat/>
    <w:uiPriority w:val="0"/>
    <w:pPr>
      <w:spacing w:line="420" w:lineRule="exact"/>
      <w:ind w:firstLine="200" w:firstLineChars="200"/>
    </w:pPr>
    <w:rPr>
      <w:rFonts w:ascii="宋体" w:hAnsi="宋体" w:eastAsia="宋体" w:cstheme="minorBidi"/>
      <w:kern w:val="2"/>
      <w:sz w:val="21"/>
      <w:szCs w:val="21"/>
      <w:lang w:val="en-US" w:eastAsia="zh-CN" w:bidi="ar-SA"/>
    </w:rPr>
  </w:style>
  <w:style w:type="paragraph" w:customStyle="1" w:styleId="29">
    <w:name w:val="标准文件_附录章标题"/>
    <w:next w:val="18"/>
    <w:autoRedefine/>
    <w:qFormat/>
    <w:uiPriority w:val="0"/>
    <w:pPr>
      <w:tabs>
        <w:tab w:val="left" w:pos="0"/>
      </w:tabs>
      <w:spacing w:before="100" w:beforeLines="100" w:after="100" w:afterLines="100"/>
      <w:outlineLvl w:val="1"/>
    </w:pPr>
    <w:rPr>
      <w:rFonts w:ascii="黑体" w:hAnsi="黑体" w:eastAsia="黑体" w:cstheme="minorBidi"/>
      <w:kern w:val="2"/>
      <w:sz w:val="21"/>
      <w:szCs w:val="21"/>
      <w:lang w:val="en-US" w:eastAsia="zh-CN" w:bidi="ar-SA"/>
    </w:rPr>
  </w:style>
  <w:style w:type="paragraph" w:customStyle="1" w:styleId="30">
    <w:name w:val="标准文件_附录一级条标题"/>
    <w:next w:val="20"/>
    <w:autoRedefine/>
    <w:qFormat/>
    <w:uiPriority w:val="0"/>
    <w:pPr>
      <w:numPr>
        <w:ilvl w:val="1"/>
        <w:numId w:val="3"/>
      </w:numPr>
      <w:spacing w:before="50" w:beforeLines="50" w:after="50" w:afterLines="50"/>
      <w:jc w:val="both"/>
      <w:outlineLvl w:val="2"/>
    </w:pPr>
    <w:rPr>
      <w:rFonts w:ascii="黑体" w:hAnsi="黑体" w:eastAsia="黑体" w:cstheme="minorBidi"/>
      <w:kern w:val="2"/>
      <w:sz w:val="21"/>
      <w:szCs w:val="24"/>
      <w:lang w:val="en-US" w:eastAsia="zh-CN" w:bidi="ar-SA"/>
    </w:rPr>
  </w:style>
  <w:style w:type="paragraph" w:customStyle="1" w:styleId="31">
    <w:name w:val="标准文件_附录二级条标题"/>
    <w:next w:val="18"/>
    <w:autoRedefine/>
    <w:qFormat/>
    <w:uiPriority w:val="0"/>
    <w:pPr>
      <w:numPr>
        <w:ilvl w:val="2"/>
        <w:numId w:val="3"/>
      </w:numPr>
      <w:spacing w:before="50" w:beforeLines="50" w:after="50" w:afterLines="50"/>
      <w:jc w:val="both"/>
      <w:outlineLvl w:val="3"/>
    </w:pPr>
    <w:rPr>
      <w:rFonts w:ascii="黑体" w:hAnsi="黑体" w:eastAsia="黑体" w:cstheme="minorBidi"/>
      <w:kern w:val="2"/>
      <w:sz w:val="21"/>
      <w:szCs w:val="24"/>
      <w:lang w:val="en-US" w:eastAsia="zh-CN" w:bidi="ar-SA"/>
    </w:rPr>
  </w:style>
  <w:style w:type="paragraph" w:customStyle="1" w:styleId="32">
    <w:name w:val="标准文件_附录三级条标题"/>
    <w:next w:val="18"/>
    <w:autoRedefine/>
    <w:qFormat/>
    <w:uiPriority w:val="0"/>
    <w:pPr>
      <w:numPr>
        <w:ilvl w:val="3"/>
        <w:numId w:val="3"/>
      </w:numPr>
      <w:spacing w:before="50" w:beforeLines="50" w:after="50" w:afterLines="50"/>
      <w:jc w:val="both"/>
      <w:outlineLvl w:val="4"/>
    </w:pPr>
    <w:rPr>
      <w:rFonts w:ascii="黑体" w:hAnsi="黑体" w:eastAsia="黑体" w:cstheme="minorBidi"/>
      <w:kern w:val="2"/>
      <w:sz w:val="21"/>
      <w:szCs w:val="24"/>
      <w:lang w:val="en-US" w:eastAsia="zh-CN" w:bidi="ar-SA"/>
    </w:rPr>
  </w:style>
  <w:style w:type="paragraph" w:customStyle="1" w:styleId="33">
    <w:name w:val="标准文件_附录四级条标题"/>
    <w:next w:val="18"/>
    <w:autoRedefine/>
    <w:qFormat/>
    <w:uiPriority w:val="0"/>
    <w:pPr>
      <w:numPr>
        <w:ilvl w:val="4"/>
        <w:numId w:val="3"/>
      </w:numPr>
      <w:spacing w:before="50" w:beforeLines="50" w:after="50" w:afterLines="50"/>
      <w:jc w:val="both"/>
      <w:outlineLvl w:val="5"/>
    </w:pPr>
    <w:rPr>
      <w:rFonts w:ascii="黑体" w:hAnsi="黑体" w:eastAsia="黑体" w:cstheme="minorBidi"/>
      <w:kern w:val="2"/>
      <w:sz w:val="21"/>
      <w:szCs w:val="24"/>
      <w:lang w:val="en-US" w:eastAsia="zh-CN" w:bidi="ar-SA"/>
    </w:rPr>
  </w:style>
  <w:style w:type="paragraph" w:customStyle="1" w:styleId="34">
    <w:name w:val="标准文件_附录五级条标题"/>
    <w:next w:val="18"/>
    <w:autoRedefine/>
    <w:qFormat/>
    <w:uiPriority w:val="0"/>
    <w:pPr>
      <w:numPr>
        <w:ilvl w:val="5"/>
        <w:numId w:val="3"/>
      </w:numPr>
      <w:spacing w:before="50" w:beforeLines="50" w:after="50" w:afterLines="50"/>
      <w:jc w:val="both"/>
      <w:outlineLvl w:val="6"/>
    </w:pPr>
    <w:rPr>
      <w:rFonts w:ascii="黑体" w:hAnsi="黑体" w:eastAsia="黑体" w:cstheme="minorBidi"/>
      <w:kern w:val="2"/>
      <w:sz w:val="21"/>
      <w:szCs w:val="24"/>
      <w:lang w:val="en-US" w:eastAsia="zh-CN" w:bidi="ar-SA"/>
    </w:rPr>
  </w:style>
  <w:style w:type="table" w:customStyle="1" w:styleId="35">
    <w:name w:val="标准文件_表格"/>
    <w:basedOn w:val="13"/>
    <w:autoRedefine/>
    <w:qFormat/>
    <w:uiPriority w:val="99"/>
    <w:pPr>
      <w:jc w:val="center"/>
    </w:pPr>
    <w:rPr>
      <w:rFonts w:ascii="宋体" w:hAnsi="宋体"/>
      <w:szCs w:val="21"/>
    </w:rPr>
    <w:tblPr>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
    <w:trPr>
      <w:jc w:val="center"/>
    </w:trPr>
    <w:tcPr>
      <w:shd w:val="clear" w:color="auto" w:fill="auto"/>
      <w:vAlign w:val="center"/>
    </w:tcPr>
    <w:tblStylePr w:type="firstRow">
      <w:rPr>
        <w:rFonts w:eastAsia="黑体"/>
        <w:sz w:val="21"/>
      </w:rPr>
      <w:tcPr>
        <w:tcBorders>
          <w:top w:val="single" w:color="auto" w:sz="12" w:space="0"/>
          <w:left w:val="single" w:color="auto" w:sz="12" w:space="0"/>
          <w:bottom w:val="single" w:color="auto" w:sz="12" w:space="0"/>
          <w:right w:val="single" w:color="auto" w:sz="12" w:space="0"/>
        </w:tcBorders>
      </w:tcPr>
    </w:tblStylePr>
  </w:style>
  <w:style w:type="paragraph" w:customStyle="1" w:styleId="36">
    <w:name w:val="标准文件_表格内容"/>
    <w:basedOn w:val="1"/>
    <w:autoRedefine/>
    <w:qFormat/>
    <w:uiPriority w:val="0"/>
    <w:pPr>
      <w:spacing w:line="300" w:lineRule="atLeast"/>
      <w:jc w:val="left"/>
    </w:pPr>
    <w:rPr>
      <w:rFonts w:ascii="宋体" w:hAnsi="宋体" w:cs="Times New Roman"/>
      <w:sz w:val="18"/>
    </w:rPr>
  </w:style>
  <w:style w:type="paragraph" w:customStyle="1" w:styleId="37">
    <w:name w:val="标准文件_表格首行"/>
    <w:autoRedefine/>
    <w:qFormat/>
    <w:uiPriority w:val="0"/>
    <w:pPr>
      <w:spacing w:line="300" w:lineRule="atLeast"/>
      <w:jc w:val="center"/>
    </w:pPr>
    <w:rPr>
      <w:rFonts w:ascii="宋体" w:hAnsi="宋体" w:eastAsia="宋体" w:cs="Times New Roman"/>
      <w:kern w:val="2"/>
      <w:sz w:val="18"/>
      <w:szCs w:val="21"/>
      <w:lang w:val="en-US" w:eastAsia="zh-CN" w:bidi="ar-SA"/>
    </w:rPr>
  </w:style>
  <w:style w:type="paragraph" w:customStyle="1" w:styleId="38">
    <w:name w:val="标准文件_表格题注"/>
    <w:autoRedefine/>
    <w:qFormat/>
    <w:uiPriority w:val="0"/>
    <w:pPr>
      <w:numPr>
        <w:ilvl w:val="0"/>
        <w:numId w:val="4"/>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39">
    <w:name w:val="标准文件_公式"/>
    <w:autoRedefine/>
    <w:qFormat/>
    <w:uiPriority w:val="0"/>
    <w:pPr>
      <w:tabs>
        <w:tab w:val="center" w:pos="4064"/>
        <w:tab w:val="right" w:leader="middleDot" w:pos="8382"/>
      </w:tabs>
    </w:pPr>
    <w:rPr>
      <w:rFonts w:ascii="宋体" w:hAnsi="宋体" w:eastAsia="宋体" w:cstheme="minorBidi"/>
      <w:kern w:val="2"/>
      <w:sz w:val="24"/>
      <w:szCs w:val="21"/>
      <w:lang w:val="en-US" w:eastAsia="zh-CN" w:bidi="ar-SA"/>
    </w:rPr>
  </w:style>
  <w:style w:type="paragraph" w:customStyle="1" w:styleId="40">
    <w:name w:val="标准文件_结构标题"/>
    <w:autoRedefine/>
    <w:qFormat/>
    <w:uiPriority w:val="0"/>
    <w:pPr>
      <w:spacing w:before="480" w:after="150" w:afterLines="150"/>
      <w:jc w:val="center"/>
      <w:outlineLvl w:val="0"/>
    </w:pPr>
    <w:rPr>
      <w:rFonts w:ascii="黑体" w:hAnsi="黑体" w:eastAsia="黑体" w:cstheme="minorBidi"/>
      <w:kern w:val="2"/>
      <w:sz w:val="32"/>
      <w:szCs w:val="21"/>
      <w:lang w:val="en-US" w:eastAsia="zh-CN" w:bidi="ar-SA"/>
    </w:rPr>
  </w:style>
  <w:style w:type="paragraph" w:customStyle="1" w:styleId="41">
    <w:name w:val="标准文件_文本标题"/>
    <w:basedOn w:val="40"/>
    <w:link w:val="42"/>
    <w:autoRedefine/>
    <w:qFormat/>
    <w:uiPriority w:val="0"/>
    <w:pPr>
      <w:spacing w:before="640" w:after="100" w:line="400" w:lineRule="exact"/>
      <w:outlineLvl w:val="9"/>
    </w:pPr>
  </w:style>
  <w:style w:type="character" w:customStyle="1" w:styleId="42">
    <w:name w:val="标准文件_文本标题 Char"/>
    <w:basedOn w:val="15"/>
    <w:link w:val="41"/>
    <w:autoRedefine/>
    <w:qFormat/>
    <w:uiPriority w:val="0"/>
    <w:rPr>
      <w:rFonts w:ascii="黑体" w:hAnsi="黑体" w:eastAsia="黑体"/>
      <w:sz w:val="32"/>
      <w:szCs w:val="21"/>
    </w:rPr>
  </w:style>
  <w:style w:type="paragraph" w:customStyle="1" w:styleId="43">
    <w:name w:val="标准文件_图片"/>
    <w:autoRedefine/>
    <w:qFormat/>
    <w:uiPriority w:val="0"/>
    <w:pPr>
      <w:jc w:val="center"/>
    </w:pPr>
    <w:rPr>
      <w:rFonts w:ascii="宋体" w:hAnsi="宋体" w:eastAsia="宋体" w:cstheme="minorBidi"/>
      <w:kern w:val="2"/>
      <w:sz w:val="24"/>
      <w:szCs w:val="21"/>
      <w:lang w:val="en-US" w:eastAsia="zh-CN" w:bidi="ar-SA"/>
    </w:rPr>
  </w:style>
  <w:style w:type="paragraph" w:customStyle="1" w:styleId="44">
    <w:name w:val="标准文件_图片题注"/>
    <w:autoRedefine/>
    <w:qFormat/>
    <w:uiPriority w:val="0"/>
    <w:pPr>
      <w:numPr>
        <w:ilvl w:val="0"/>
        <w:numId w:val="5"/>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45">
    <w:name w:val="标准文件_页脚"/>
    <w:autoRedefine/>
    <w:qFormat/>
    <w:uiPriority w:val="0"/>
    <w:pPr>
      <w:jc w:val="center"/>
    </w:pPr>
    <w:rPr>
      <w:rFonts w:ascii="宋体" w:hAnsi="宋体" w:eastAsia="宋体" w:cstheme="minorBidi"/>
      <w:kern w:val="2"/>
      <w:sz w:val="18"/>
      <w:szCs w:val="18"/>
      <w:lang w:val="en-US" w:eastAsia="zh-CN" w:bidi="ar-SA"/>
    </w:rPr>
  </w:style>
  <w:style w:type="paragraph" w:customStyle="1" w:styleId="46">
    <w:name w:val="标准文件_页眉"/>
    <w:autoRedefine/>
    <w:qFormat/>
    <w:uiPriority w:val="0"/>
    <w:pPr>
      <w:jc w:val="center"/>
    </w:pPr>
    <w:rPr>
      <w:rFonts w:ascii="宋体" w:hAnsi="宋体" w:eastAsia="宋体" w:cstheme="minorBidi"/>
      <w:kern w:val="2"/>
      <w:sz w:val="18"/>
      <w:szCs w:val="18"/>
      <w:lang w:val="en-US" w:eastAsia="zh-CN" w:bidi="ar-SA"/>
    </w:rPr>
  </w:style>
  <w:style w:type="paragraph" w:customStyle="1" w:styleId="47">
    <w:name w:val="标准文件_脚注尾注"/>
    <w:basedOn w:val="18"/>
    <w:autoRedefine/>
    <w:qFormat/>
    <w:uiPriority w:val="0"/>
    <w:pPr>
      <w:ind w:left="150" w:hanging="150" w:hangingChars="80"/>
    </w:pPr>
    <w:rPr>
      <w:sz w:val="18"/>
    </w:rPr>
  </w:style>
  <w:style w:type="paragraph" w:customStyle="1" w:styleId="48">
    <w:name w:val="标准文件_字母列项"/>
    <w:autoRedefine/>
    <w:qFormat/>
    <w:uiPriority w:val="0"/>
    <w:pPr>
      <w:numPr>
        <w:ilvl w:val="0"/>
        <w:numId w:val="6"/>
      </w:numPr>
    </w:pPr>
    <w:rPr>
      <w:rFonts w:ascii="宋体" w:hAnsi="宋体" w:eastAsia="宋体" w:cs="Times New Roman"/>
      <w:kern w:val="2"/>
      <w:sz w:val="21"/>
      <w:szCs w:val="18"/>
      <w:lang w:val="en-US" w:eastAsia="zh-CN" w:bidi="ar-SA"/>
    </w:rPr>
  </w:style>
  <w:style w:type="paragraph" w:customStyle="1" w:styleId="49">
    <w:name w:val="标准文件_数字列项"/>
    <w:autoRedefine/>
    <w:qFormat/>
    <w:uiPriority w:val="0"/>
    <w:pPr>
      <w:numPr>
        <w:ilvl w:val="0"/>
        <w:numId w:val="7"/>
      </w:numPr>
    </w:pPr>
    <w:rPr>
      <w:rFonts w:ascii="宋体" w:hAnsi="宋体" w:eastAsia="宋体" w:cstheme="minorBidi"/>
      <w:kern w:val="2"/>
      <w:sz w:val="21"/>
      <w:szCs w:val="18"/>
      <w:lang w:val="en-US" w:eastAsia="zh-CN" w:bidi="ar-SA"/>
    </w:rPr>
  </w:style>
  <w:style w:type="paragraph" w:customStyle="1" w:styleId="50">
    <w:name w:val="标准文件_符号列项"/>
    <w:autoRedefine/>
    <w:qFormat/>
    <w:uiPriority w:val="0"/>
    <w:pPr>
      <w:numPr>
        <w:ilvl w:val="0"/>
        <w:numId w:val="8"/>
      </w:numPr>
    </w:pPr>
    <w:rPr>
      <w:rFonts w:ascii="宋体" w:hAnsi="宋体" w:eastAsia="宋体" w:cstheme="minorBidi"/>
      <w:kern w:val="2"/>
      <w:sz w:val="21"/>
      <w:szCs w:val="18"/>
      <w:lang w:val="en-US" w:eastAsia="zh-CN" w:bidi="ar-SA"/>
    </w:rPr>
  </w:style>
  <w:style w:type="paragraph" w:customStyle="1" w:styleId="51">
    <w:name w:val="标准文件_单条注释"/>
    <w:autoRedefine/>
    <w:qFormat/>
    <w:uiPriority w:val="0"/>
    <w:pPr>
      <w:numPr>
        <w:ilvl w:val="0"/>
        <w:numId w:val="9"/>
      </w:numPr>
    </w:pPr>
    <w:rPr>
      <w:rFonts w:ascii="宋体" w:hAnsi="宋体" w:eastAsia="宋体" w:cstheme="minorBidi"/>
      <w:kern w:val="2"/>
      <w:sz w:val="18"/>
      <w:szCs w:val="21"/>
      <w:lang w:val="en-US" w:eastAsia="zh-CN" w:bidi="ar-SA"/>
    </w:rPr>
  </w:style>
  <w:style w:type="paragraph" w:customStyle="1" w:styleId="52">
    <w:name w:val="标准文件_多条注释"/>
    <w:autoRedefine/>
    <w:qFormat/>
    <w:uiPriority w:val="0"/>
    <w:pPr>
      <w:numPr>
        <w:ilvl w:val="0"/>
        <w:numId w:val="10"/>
      </w:numPr>
    </w:pPr>
    <w:rPr>
      <w:rFonts w:ascii="宋体" w:hAnsi="宋体" w:eastAsia="宋体" w:cstheme="minorBidi"/>
      <w:kern w:val="2"/>
      <w:sz w:val="18"/>
      <w:szCs w:val="21"/>
      <w:lang w:val="en-US" w:eastAsia="zh-CN" w:bidi="ar-SA"/>
    </w:rPr>
  </w:style>
  <w:style w:type="paragraph" w:customStyle="1" w:styleId="53">
    <w:name w:val="标准文件_单条示例"/>
    <w:autoRedefine/>
    <w:qFormat/>
    <w:uiPriority w:val="0"/>
    <w:pPr>
      <w:numPr>
        <w:ilvl w:val="0"/>
        <w:numId w:val="11"/>
      </w:numPr>
    </w:pPr>
    <w:rPr>
      <w:rFonts w:ascii="宋体" w:hAnsi="宋体" w:eastAsia="宋体" w:cstheme="minorBidi"/>
      <w:kern w:val="2"/>
      <w:sz w:val="18"/>
      <w:szCs w:val="18"/>
      <w:lang w:val="en-US" w:eastAsia="zh-CN" w:bidi="ar-SA"/>
    </w:rPr>
  </w:style>
  <w:style w:type="paragraph" w:customStyle="1" w:styleId="54">
    <w:name w:val="标准文件_多条示例"/>
    <w:autoRedefine/>
    <w:qFormat/>
    <w:uiPriority w:val="0"/>
    <w:pPr>
      <w:numPr>
        <w:ilvl w:val="0"/>
        <w:numId w:val="12"/>
      </w:numPr>
    </w:pPr>
    <w:rPr>
      <w:rFonts w:ascii="宋体" w:hAnsi="宋体" w:eastAsia="宋体" w:cstheme="minorBidi"/>
      <w:kern w:val="2"/>
      <w:sz w:val="18"/>
      <w:szCs w:val="21"/>
      <w:lang w:val="en-US" w:eastAsia="zh-CN" w:bidi="ar-SA"/>
    </w:rPr>
  </w:style>
  <w:style w:type="character" w:customStyle="1" w:styleId="55">
    <w:name w:val="页眉 Char"/>
    <w:link w:val="7"/>
    <w:autoRedefine/>
    <w:qFormat/>
    <w:uiPriority w:val="99"/>
    <w:rPr>
      <w:rFonts w:ascii="Calibri" w:hAnsi="Calibri" w:eastAsia="宋体" w:cs="Times New Roman"/>
      <w:sz w:val="18"/>
      <w:szCs w:val="18"/>
    </w:rPr>
  </w:style>
  <w:style w:type="paragraph" w:customStyle="1" w:styleId="56">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30"/>
      <w:sz w:val="96"/>
      <w:szCs w:val="96"/>
      <w:lang w:val="en-US" w:eastAsia="zh-CN" w:bidi="ar-SA"/>
    </w:rPr>
  </w:style>
  <w:style w:type="paragraph" w:customStyle="1" w:styleId="57">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黑体" w:hAnsi="黑体" w:eastAsia="黑体" w:cs="Times New Roman"/>
      <w:b/>
      <w:bCs/>
      <w:w w:val="148"/>
      <w:sz w:val="48"/>
      <w:lang w:val="en-US" w:eastAsia="zh-CN" w:bidi="ar-SA"/>
    </w:rPr>
  </w:style>
  <w:style w:type="paragraph" w:customStyle="1" w:styleId="58">
    <w:name w:val="封面标准英文名称"/>
    <w:basedOn w:val="1"/>
    <w:autoRedefine/>
    <w:qFormat/>
    <w:uiPriority w:val="0"/>
    <w:pPr>
      <w:framePr w:w="9639" w:h="6917" w:hRule="exact" w:wrap="around" w:vAnchor="page" w:hAnchor="page" w:xAlign="center" w:y="6408" w:anchorLock="1"/>
      <w:spacing w:before="370" w:line="400" w:lineRule="exact"/>
      <w:jc w:val="center"/>
      <w:textAlignment w:val="center"/>
    </w:pPr>
    <w:rPr>
      <w:rFonts w:ascii="黑体" w:hAnsi="黑体" w:eastAsia="黑体" w:cs="Times New Roman"/>
      <w:kern w:val="0"/>
      <w:sz w:val="28"/>
      <w:szCs w:val="28"/>
    </w:rPr>
  </w:style>
  <w:style w:type="paragraph" w:customStyle="1" w:styleId="59">
    <w:name w:val="其他发布日期"/>
    <w:basedOn w:val="1"/>
    <w:autoRedefine/>
    <w:qFormat/>
    <w:uiPriority w:val="0"/>
    <w:pPr>
      <w:framePr w:w="3997" w:h="471" w:hRule="exact" w:vSpace="181" w:wrap="around" w:vAnchor="page" w:hAnchor="text" w:x="1419" w:y="14097" w:anchorLock="1"/>
      <w:widowControl/>
      <w:jc w:val="left"/>
    </w:pPr>
    <w:rPr>
      <w:rFonts w:eastAsia="黑体" w:cs="Times New Roman"/>
      <w:kern w:val="0"/>
      <w:sz w:val="28"/>
      <w:szCs w:val="20"/>
    </w:rPr>
  </w:style>
  <w:style w:type="paragraph" w:customStyle="1" w:styleId="60">
    <w:name w:val="其他实施日期"/>
    <w:basedOn w:val="1"/>
    <w:autoRedefine/>
    <w:qFormat/>
    <w:uiPriority w:val="0"/>
    <w:pPr>
      <w:framePr w:w="3997" w:h="471" w:hRule="exact" w:vSpace="181" w:wrap="around" w:vAnchor="page" w:hAnchor="text" w:x="7089" w:y="14097" w:anchorLock="1"/>
      <w:widowControl/>
      <w:jc w:val="right"/>
    </w:pPr>
    <w:rPr>
      <w:rFonts w:eastAsia="黑体" w:cs="Times New Roman"/>
      <w:kern w:val="0"/>
      <w:sz w:val="28"/>
      <w:szCs w:val="20"/>
    </w:rPr>
  </w:style>
  <w:style w:type="paragraph" w:customStyle="1" w:styleId="61">
    <w:name w:val="标准文件_文件编号"/>
    <w:basedOn w:val="1"/>
    <w:autoRedefine/>
    <w:qFormat/>
    <w:uiPriority w:val="0"/>
    <w:pPr>
      <w:framePr w:w="9356" w:h="624" w:hRule="exact" w:hSpace="181" w:vSpace="181" w:wrap="auto" w:vAnchor="page" w:hAnchor="page" w:x="1419" w:y="3284"/>
      <w:widowControl/>
      <w:wordWrap w:val="0"/>
      <w:autoSpaceDE w:val="0"/>
      <w:autoSpaceDN w:val="0"/>
      <w:spacing w:line="280" w:lineRule="exact"/>
      <w:jc w:val="right"/>
    </w:pPr>
    <w:rPr>
      <w:rFonts w:ascii="黑体" w:eastAsia="黑体" w:cs="Times New Roman"/>
      <w:bCs/>
      <w:kern w:val="0"/>
      <w:sz w:val="28"/>
      <w:szCs w:val="28"/>
    </w:rPr>
  </w:style>
  <w:style w:type="paragraph" w:customStyle="1" w:styleId="62">
    <w:name w:val="标准文件_替换文件编号"/>
    <w:basedOn w:val="61"/>
    <w:autoRedefine/>
    <w:qFormat/>
    <w:uiPriority w:val="0"/>
    <w:pPr>
      <w:spacing w:before="57"/>
    </w:pPr>
    <w:rPr>
      <w:sz w:val="21"/>
    </w:rPr>
  </w:style>
  <w:style w:type="paragraph" w:customStyle="1" w:styleId="63">
    <w:name w:val="标准文件_文件名称"/>
    <w:basedOn w:val="1"/>
    <w:next w:val="1"/>
    <w:autoRedefine/>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character" w:customStyle="1" w:styleId="64">
    <w:name w:val="页脚 Char"/>
    <w:basedOn w:val="15"/>
    <w:link w:val="6"/>
    <w:autoRedefine/>
    <w:qFormat/>
    <w:uiPriority w:val="99"/>
    <w:rPr>
      <w:rFonts w:ascii="宋体" w:hAnsi="宋体" w:eastAsia="宋体"/>
      <w:sz w:val="18"/>
      <w:szCs w:val="18"/>
    </w:rPr>
  </w:style>
  <w:style w:type="paragraph" w:customStyle="1" w:styleId="65">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w w:val="135"/>
      <w:kern w:val="0"/>
      <w:sz w:val="36"/>
      <w:szCs w:val="20"/>
    </w:rPr>
  </w:style>
  <w:style w:type="character" w:customStyle="1" w:styleId="66">
    <w:name w:val="发布"/>
    <w:basedOn w:val="15"/>
    <w:autoRedefine/>
    <w:qFormat/>
    <w:uiPriority w:val="0"/>
    <w:rPr>
      <w:rFonts w:ascii="黑体" w:eastAsia="黑体"/>
      <w:spacing w:val="85"/>
      <w:w w:val="100"/>
      <w:position w:val="3"/>
      <w:sz w:val="28"/>
      <w:szCs w:val="28"/>
    </w:rPr>
  </w:style>
  <w:style w:type="paragraph" w:customStyle="1" w:styleId="67">
    <w:name w:val="标准文件_术语"/>
    <w:basedOn w:val="1"/>
    <w:link w:val="68"/>
    <w:autoRedefine/>
    <w:qFormat/>
    <w:uiPriority w:val="0"/>
    <w:pPr>
      <w:widowControl/>
      <w:spacing w:line="300" w:lineRule="auto"/>
      <w:ind w:firstLine="420" w:firstLineChars="200"/>
      <w:jc w:val="left"/>
    </w:pPr>
    <w:rPr>
      <w:rFonts w:ascii="黑体" w:hAnsi="黑体" w:eastAsia="黑体"/>
      <w:sz w:val="21"/>
    </w:rPr>
  </w:style>
  <w:style w:type="character" w:customStyle="1" w:styleId="68">
    <w:name w:val="标准文件_术语 Char"/>
    <w:basedOn w:val="15"/>
    <w:link w:val="67"/>
    <w:autoRedefine/>
    <w:qFormat/>
    <w:uiPriority w:val="0"/>
    <w:rPr>
      <w:rFonts w:ascii="黑体" w:hAnsi="黑体" w:eastAsia="黑体"/>
      <w:szCs w:val="21"/>
    </w:rPr>
  </w:style>
  <w:style w:type="paragraph" w:customStyle="1" w:styleId="69">
    <w:name w:val="标准文件_术语标题"/>
    <w:basedOn w:val="1"/>
    <w:link w:val="70"/>
    <w:autoRedefine/>
    <w:qFormat/>
    <w:uiPriority w:val="0"/>
    <w:pPr>
      <w:widowControl/>
      <w:spacing w:line="300" w:lineRule="auto"/>
      <w:jc w:val="left"/>
    </w:pPr>
    <w:rPr>
      <w:rFonts w:ascii="黑体" w:hAnsi="黑体" w:eastAsia="黑体"/>
      <w:sz w:val="21"/>
    </w:rPr>
  </w:style>
  <w:style w:type="character" w:customStyle="1" w:styleId="70">
    <w:name w:val="标准文件_术语标题 Char"/>
    <w:basedOn w:val="15"/>
    <w:link w:val="69"/>
    <w:autoRedefine/>
    <w:qFormat/>
    <w:uiPriority w:val="0"/>
    <w:rPr>
      <w:rFonts w:ascii="黑体" w:hAnsi="黑体" w:eastAsia="黑体"/>
      <w:szCs w:val="21"/>
    </w:rPr>
  </w:style>
  <w:style w:type="paragraph" w:customStyle="1" w:styleId="71">
    <w:name w:val="标准文件_符号列项2"/>
    <w:autoRedefine/>
    <w:qFormat/>
    <w:uiPriority w:val="0"/>
    <w:pPr>
      <w:numPr>
        <w:ilvl w:val="1"/>
        <w:numId w:val="13"/>
      </w:numPr>
    </w:pPr>
    <w:rPr>
      <w:rFonts w:ascii="宋体" w:hAnsi="宋体" w:eastAsia="宋体" w:cs="Times New Roman"/>
      <w:sz w:val="21"/>
      <w:lang w:val="en-US" w:eastAsia="zh-CN" w:bidi="ar-SA"/>
    </w:rPr>
  </w:style>
  <w:style w:type="character" w:styleId="72">
    <w:name w:val="Placeholder Text"/>
    <w:basedOn w:val="15"/>
    <w:autoRedefine/>
    <w:semiHidden/>
    <w:qFormat/>
    <w:uiPriority w:val="99"/>
    <w:rPr>
      <w:color w:val="808080"/>
    </w:rPr>
  </w:style>
  <w:style w:type="paragraph" w:customStyle="1" w:styleId="73">
    <w:name w:val="标准文件_参考文献"/>
    <w:basedOn w:val="1"/>
    <w:autoRedefine/>
    <w:qFormat/>
    <w:uiPriority w:val="0"/>
    <w:pPr>
      <w:numPr>
        <w:ilvl w:val="0"/>
        <w:numId w:val="14"/>
      </w:numPr>
      <w:ind w:left="420" w:hanging="420"/>
    </w:pPr>
    <w:rPr>
      <w:rFonts w:ascii="宋体" w:hAnsi="宋体"/>
      <w:sz w:val="21"/>
    </w:rPr>
  </w:style>
  <w:style w:type="character" w:customStyle="1" w:styleId="74">
    <w:name w:val="标准文件_段 Char"/>
    <w:link w:val="20"/>
    <w:autoRedefine/>
    <w:qFormat/>
    <w:locked/>
    <w:uiPriority w:val="0"/>
    <w:rPr>
      <w:rFonts w:ascii="宋体" w:hAnsi="Times New Roman" w:eastAsia="宋体"/>
    </w:rPr>
  </w:style>
  <w:style w:type="paragraph" w:customStyle="1" w:styleId="75">
    <w:name w:val="标准文件_一级无标题"/>
    <w:basedOn w:val="21"/>
    <w:autoRedefine/>
    <w:qFormat/>
    <w:uiPriority w:val="0"/>
    <w:pPr>
      <w:spacing w:before="0" w:beforeLines="0" w:after="0" w:afterLines="0"/>
      <w:jc w:val="both"/>
      <w:outlineLvl w:val="9"/>
    </w:pPr>
    <w:rPr>
      <w:rFonts w:ascii="宋体" w:hAnsi="宋体" w:eastAsia="宋体"/>
    </w:rPr>
  </w:style>
  <w:style w:type="paragraph" w:customStyle="1" w:styleId="76">
    <w:name w:val="标准文件_二级无标题"/>
    <w:basedOn w:val="22"/>
    <w:autoRedefine/>
    <w:qFormat/>
    <w:uiPriority w:val="0"/>
    <w:pPr>
      <w:spacing w:before="0" w:beforeLines="0" w:after="0" w:afterLines="0"/>
      <w:jc w:val="both"/>
      <w:outlineLvl w:val="9"/>
    </w:pPr>
    <w:rPr>
      <w:rFonts w:ascii="宋体" w:hAnsi="宋体" w:eastAsia="宋体"/>
    </w:rPr>
  </w:style>
  <w:style w:type="paragraph" w:customStyle="1" w:styleId="77">
    <w:name w:val="标准文件_三级无标题"/>
    <w:basedOn w:val="23"/>
    <w:autoRedefine/>
    <w:qFormat/>
    <w:uiPriority w:val="0"/>
    <w:pPr>
      <w:spacing w:before="0" w:beforeLines="0" w:after="0" w:afterLines="0"/>
      <w:jc w:val="both"/>
      <w:outlineLvl w:val="9"/>
    </w:pPr>
    <w:rPr>
      <w:rFonts w:ascii="宋体" w:hAnsi="宋体" w:eastAsia="宋体"/>
    </w:rPr>
  </w:style>
  <w:style w:type="paragraph" w:customStyle="1" w:styleId="78">
    <w:name w:val="标准文件_四级无标题"/>
    <w:basedOn w:val="24"/>
    <w:autoRedefine/>
    <w:qFormat/>
    <w:uiPriority w:val="0"/>
    <w:pPr>
      <w:spacing w:before="0" w:beforeLines="0" w:after="0" w:afterLines="0"/>
      <w:jc w:val="both"/>
      <w:outlineLvl w:val="9"/>
    </w:pPr>
    <w:rPr>
      <w:rFonts w:ascii="宋体" w:hAnsi="宋体" w:eastAsia="宋体"/>
    </w:rPr>
  </w:style>
  <w:style w:type="paragraph" w:customStyle="1" w:styleId="79">
    <w:name w:val="标准文件_五级无标题"/>
    <w:basedOn w:val="25"/>
    <w:autoRedefine/>
    <w:qFormat/>
    <w:uiPriority w:val="0"/>
    <w:pPr>
      <w:spacing w:before="0" w:beforeLines="0" w:after="0" w:afterLines="0"/>
      <w:jc w:val="both"/>
      <w:outlineLvl w:val="9"/>
    </w:pPr>
    <w:rPr>
      <w:rFonts w:ascii="宋体" w:hAnsi="宋体" w:eastAsia="宋体"/>
    </w:rPr>
  </w:style>
  <w:style w:type="paragraph" w:customStyle="1" w:styleId="80">
    <w:name w:val="标准文件_附录一级无标题"/>
    <w:basedOn w:val="30"/>
    <w:autoRedefine/>
    <w:qFormat/>
    <w:uiPriority w:val="0"/>
    <w:pPr>
      <w:spacing w:before="0" w:beforeLines="0" w:after="0" w:afterLines="0" w:line="276" w:lineRule="auto"/>
      <w:outlineLvl w:val="9"/>
    </w:pPr>
    <w:rPr>
      <w:rFonts w:ascii="宋体" w:hAnsi="宋体" w:eastAsia="宋体"/>
    </w:rPr>
  </w:style>
  <w:style w:type="paragraph" w:customStyle="1" w:styleId="81">
    <w:name w:val="标准文件_附录二级无标题"/>
    <w:basedOn w:val="31"/>
    <w:autoRedefine/>
    <w:qFormat/>
    <w:uiPriority w:val="0"/>
    <w:pPr>
      <w:spacing w:before="0" w:beforeLines="0" w:after="0" w:afterLines="0" w:line="276" w:lineRule="auto"/>
      <w:outlineLvl w:val="9"/>
    </w:pPr>
    <w:rPr>
      <w:rFonts w:ascii="宋体" w:hAnsi="宋体" w:eastAsia="宋体"/>
    </w:rPr>
  </w:style>
  <w:style w:type="paragraph" w:customStyle="1" w:styleId="82">
    <w:name w:val="标准文件_附录三级无标题"/>
    <w:basedOn w:val="32"/>
    <w:autoRedefine/>
    <w:qFormat/>
    <w:uiPriority w:val="0"/>
    <w:pPr>
      <w:spacing w:before="0" w:beforeLines="0" w:after="0" w:afterLines="0" w:line="276" w:lineRule="auto"/>
      <w:outlineLvl w:val="9"/>
    </w:pPr>
    <w:rPr>
      <w:rFonts w:ascii="宋体" w:hAnsi="宋体" w:eastAsia="宋体"/>
    </w:rPr>
  </w:style>
  <w:style w:type="paragraph" w:customStyle="1" w:styleId="83">
    <w:name w:val="标准文件_附录四级无标题"/>
    <w:basedOn w:val="33"/>
    <w:autoRedefine/>
    <w:qFormat/>
    <w:uiPriority w:val="0"/>
    <w:pPr>
      <w:spacing w:before="0" w:beforeLines="0" w:after="0" w:afterLines="0" w:line="276" w:lineRule="auto"/>
      <w:outlineLvl w:val="9"/>
    </w:pPr>
    <w:rPr>
      <w:rFonts w:ascii="宋体" w:hAnsi="宋体" w:eastAsia="宋体"/>
    </w:rPr>
  </w:style>
  <w:style w:type="paragraph" w:customStyle="1" w:styleId="84">
    <w:name w:val="标准文件_附录五级无标题"/>
    <w:basedOn w:val="34"/>
    <w:autoRedefine/>
    <w:qFormat/>
    <w:uiPriority w:val="0"/>
    <w:pPr>
      <w:spacing w:before="0" w:beforeLines="0" w:after="0" w:afterLines="0" w:line="276" w:lineRule="auto"/>
      <w:outlineLvl w:val="9"/>
    </w:pPr>
    <w:rPr>
      <w:rFonts w:ascii="宋体" w:hAnsi="宋体" w:eastAsia="宋体"/>
    </w:rPr>
  </w:style>
  <w:style w:type="paragraph" w:customStyle="1" w:styleId="85">
    <w:name w:val="标准文件_术语条一"/>
    <w:basedOn w:val="75"/>
    <w:next w:val="20"/>
    <w:autoRedefine/>
    <w:qFormat/>
    <w:uiPriority w:val="0"/>
    <w:pPr>
      <w:ind w:left="200" w:hanging="200" w:hangingChars="200"/>
    </w:pPr>
    <w:rPr>
      <w:rFonts w:ascii="黑体" w:hAnsi="黑体" w:eastAsia="黑体"/>
    </w:rPr>
  </w:style>
  <w:style w:type="paragraph" w:customStyle="1" w:styleId="86">
    <w:name w:val="标准文件_术语条二"/>
    <w:basedOn w:val="76"/>
    <w:next w:val="18"/>
    <w:autoRedefine/>
    <w:qFormat/>
    <w:uiPriority w:val="0"/>
    <w:pPr>
      <w:ind w:left="200" w:hanging="200" w:hangingChars="200"/>
    </w:pPr>
    <w:rPr>
      <w:rFonts w:ascii="黑体" w:hAnsi="黑体" w:eastAsia="黑体"/>
    </w:rPr>
  </w:style>
  <w:style w:type="paragraph" w:customStyle="1" w:styleId="87">
    <w:name w:val="标准文件_术语条三"/>
    <w:basedOn w:val="77"/>
    <w:next w:val="18"/>
    <w:autoRedefine/>
    <w:qFormat/>
    <w:uiPriority w:val="0"/>
    <w:pPr>
      <w:ind w:left="200" w:hanging="200" w:hangingChars="200"/>
    </w:pPr>
    <w:rPr>
      <w:rFonts w:ascii="黑体" w:hAnsi="黑体" w:eastAsia="黑体"/>
    </w:rPr>
  </w:style>
  <w:style w:type="paragraph" w:customStyle="1" w:styleId="88">
    <w:name w:val="标准文件_术语条四"/>
    <w:basedOn w:val="78"/>
    <w:next w:val="18"/>
    <w:autoRedefine/>
    <w:qFormat/>
    <w:uiPriority w:val="0"/>
    <w:pPr>
      <w:ind w:left="200" w:hanging="200" w:hangingChars="200"/>
    </w:pPr>
    <w:rPr>
      <w:rFonts w:ascii="黑体" w:hAnsi="黑体" w:eastAsia="黑体"/>
    </w:rPr>
  </w:style>
  <w:style w:type="paragraph" w:customStyle="1" w:styleId="89">
    <w:name w:val="标准文件_术语条五"/>
    <w:basedOn w:val="79"/>
    <w:next w:val="18"/>
    <w:autoRedefine/>
    <w:qFormat/>
    <w:uiPriority w:val="0"/>
    <w:pPr>
      <w:ind w:left="200" w:hanging="200" w:hangingChars="200"/>
    </w:pPr>
    <w:rPr>
      <w:rFonts w:ascii="黑体" w:hAnsi="黑体" w:eastAsia="黑体"/>
    </w:rPr>
  </w:style>
  <w:style w:type="paragraph" w:customStyle="1" w:styleId="90">
    <w:name w:val="样式1"/>
    <w:next w:val="28"/>
    <w:autoRedefine/>
    <w:qFormat/>
    <w:uiPriority w:val="0"/>
    <w:pPr>
      <w:numPr>
        <w:ilvl w:val="0"/>
        <w:numId w:val="15"/>
      </w:numPr>
      <w:autoSpaceDE w:val="0"/>
      <w:autoSpaceDN w:val="0"/>
      <w:spacing w:before="570" w:after="50" w:afterLines="50"/>
    </w:pPr>
    <w:rPr>
      <w:rFonts w:ascii="宋体" w:hAnsi="宋体" w:eastAsia="黑体" w:cstheme="minorBidi"/>
      <w:sz w:val="21"/>
      <w:lang w:val="en-US" w:eastAsia="zh-CN" w:bidi="ar-SA"/>
    </w:rPr>
  </w:style>
  <w:style w:type="paragraph" w:customStyle="1" w:styleId="91">
    <w:name w:val="标准文件_附录标识"/>
    <w:basedOn w:val="1"/>
    <w:autoRedefine/>
    <w:qFormat/>
    <w:uiPriority w:val="0"/>
    <w:pPr>
      <w:numPr>
        <w:ilvl w:val="0"/>
        <w:numId w:val="3"/>
      </w:numPr>
      <w:tabs>
        <w:tab w:val="left" w:pos="420"/>
        <w:tab w:val="clear" w:pos="0"/>
      </w:tabs>
      <w:jc w:val="center"/>
      <w:outlineLvl w:val="0"/>
    </w:pPr>
    <w:rPr>
      <w:rFonts w:ascii="黑体" w:hAnsi="黑体" w:eastAsia="黑体"/>
      <w:sz w:val="21"/>
    </w:rPr>
  </w:style>
  <w:style w:type="paragraph" w:customStyle="1" w:styleId="92">
    <w:name w:val="样式2"/>
    <w:next w:val="28"/>
    <w:autoRedefine/>
    <w:qFormat/>
    <w:uiPriority w:val="0"/>
    <w:pPr>
      <w:numPr>
        <w:ilvl w:val="0"/>
        <w:numId w:val="16"/>
      </w:numPr>
      <w:autoSpaceDE w:val="0"/>
      <w:autoSpaceDN w:val="0"/>
      <w:ind w:firstLine="420" w:firstLineChars="200"/>
    </w:pPr>
    <w:rPr>
      <w:rFonts w:ascii="宋体" w:hAnsi="宋体" w:eastAsiaTheme="minorEastAsia" w:cstheme="minorBidi"/>
      <w:vanish/>
      <w:sz w:val="2"/>
      <w:szCs w:val="2"/>
      <w:lang w:val="en-US" w:eastAsia="zh-CN" w:bidi="ar-SA"/>
    </w:rPr>
  </w:style>
  <w:style w:type="paragraph" w:customStyle="1" w:styleId="93">
    <w:name w:val="标准文件_附录表标号"/>
    <w:autoRedefine/>
    <w:qFormat/>
    <w:uiPriority w:val="0"/>
    <w:pPr>
      <w:numPr>
        <w:ilvl w:val="0"/>
        <w:numId w:val="17"/>
      </w:numPr>
      <w:spacing w:line="14" w:lineRule="exact"/>
      <w:jc w:val="center"/>
    </w:pPr>
    <w:rPr>
      <w:rFonts w:ascii="宋体" w:hAnsi="宋体" w:eastAsia="宋体" w:cstheme="minorBidi"/>
      <w:vanish/>
      <w:sz w:val="2"/>
      <w:szCs w:val="2"/>
      <w:lang w:val="en-US" w:eastAsia="zh-CN" w:bidi="ar-SA"/>
    </w:rPr>
  </w:style>
  <w:style w:type="paragraph" w:customStyle="1" w:styleId="94">
    <w:name w:val="样式3"/>
    <w:basedOn w:val="1"/>
    <w:next w:val="95"/>
    <w:autoRedefine/>
    <w:qFormat/>
    <w:uiPriority w:val="0"/>
    <w:pPr>
      <w:numPr>
        <w:ilvl w:val="0"/>
        <w:numId w:val="18"/>
      </w:numPr>
      <w:autoSpaceDE w:val="0"/>
      <w:autoSpaceDN w:val="0"/>
      <w:ind w:firstLine="157" w:firstLineChars="75"/>
    </w:pPr>
    <w:rPr>
      <w:rFonts w:ascii="宋体" w:hAnsi="宋体"/>
      <w:szCs w:val="22"/>
    </w:rPr>
  </w:style>
  <w:style w:type="paragraph" w:customStyle="1" w:styleId="95">
    <w:name w:val="标准文件_附录表标识"/>
    <w:basedOn w:val="1"/>
    <w:autoRedefine/>
    <w:qFormat/>
    <w:uiPriority w:val="0"/>
    <w:pPr>
      <w:numPr>
        <w:ilvl w:val="0"/>
        <w:numId w:val="19"/>
      </w:numPr>
    </w:pPr>
    <w:rPr>
      <w:rFonts w:ascii="宋体" w:hAnsi="宋体"/>
    </w:rPr>
  </w:style>
  <w:style w:type="paragraph" w:customStyle="1" w:styleId="96">
    <w:name w:val="样式4"/>
    <w:next w:val="97"/>
    <w:autoRedefine/>
    <w:qFormat/>
    <w:uiPriority w:val="0"/>
    <w:pPr>
      <w:numPr>
        <w:ilvl w:val="0"/>
        <w:numId w:val="20"/>
      </w:numPr>
      <w:autoSpaceDE w:val="0"/>
      <w:autoSpaceDN w:val="0"/>
      <w:jc w:val="center"/>
    </w:pPr>
    <w:rPr>
      <w:rFonts w:ascii="宋体" w:hAnsi="宋体" w:eastAsia="黑体" w:cstheme="minorBidi"/>
      <w:sz w:val="21"/>
      <w:szCs w:val="22"/>
      <w:lang w:val="en-US" w:eastAsia="zh-CN" w:bidi="ar-SA"/>
    </w:rPr>
  </w:style>
  <w:style w:type="paragraph" w:customStyle="1" w:styleId="97">
    <w:name w:val="标准文件_附录表题注"/>
    <w:basedOn w:val="1"/>
    <w:autoRedefine/>
    <w:qFormat/>
    <w:uiPriority w:val="0"/>
    <w:pPr>
      <w:numPr>
        <w:ilvl w:val="1"/>
        <w:numId w:val="17"/>
      </w:numPr>
      <w:tabs>
        <w:tab w:val="left" w:pos="420"/>
        <w:tab w:val="clear" w:pos="0"/>
      </w:tabs>
      <w:jc w:val="center"/>
    </w:pPr>
    <w:rPr>
      <w:rFonts w:ascii="黑体" w:hAnsi="黑体" w:eastAsia="黑体"/>
      <w:sz w:val="21"/>
    </w:rPr>
  </w:style>
  <w:style w:type="paragraph" w:customStyle="1" w:styleId="98">
    <w:name w:val="标准文件_正文公式"/>
    <w:basedOn w:val="1"/>
    <w:autoRedefine/>
    <w:qFormat/>
    <w:uiPriority w:val="0"/>
    <w:pPr>
      <w:tabs>
        <w:tab w:val="center" w:pos="4679"/>
        <w:tab w:val="center" w:leader="middleDot" w:pos="9355"/>
      </w:tabs>
    </w:pPr>
    <w:rPr>
      <w:rFonts w:ascii="宋体" w:hAnsi="宋体"/>
      <w:sz w:val="21"/>
    </w:rPr>
  </w:style>
  <w:style w:type="paragraph" w:customStyle="1" w:styleId="99">
    <w:name w:val="样式5"/>
    <w:basedOn w:val="28"/>
    <w:next w:val="28"/>
    <w:autoRedefine/>
    <w:qFormat/>
    <w:uiPriority w:val="0"/>
    <w:pPr>
      <w:framePr w:wrap="notBeside" w:vAnchor="page" w:hAnchor="page" w:x="1372" w:y="568"/>
      <w:numPr>
        <w:ilvl w:val="0"/>
        <w:numId w:val="21"/>
      </w:numPr>
      <w:tabs>
        <w:tab w:val="clear" w:pos="420"/>
      </w:tabs>
      <w:snapToGrid w:val="0"/>
    </w:pPr>
    <w:rPr>
      <w:rFonts w:ascii="黑体" w:hAnsi="黑体" w:eastAsia="黑体" w:cs="Times New Roman"/>
      <w:kern w:val="0"/>
      <w:sz w:val="2"/>
    </w:rPr>
  </w:style>
  <w:style w:type="paragraph" w:customStyle="1" w:styleId="100">
    <w:name w:val="标准文件_附录图标识"/>
    <w:basedOn w:val="28"/>
    <w:next w:val="28"/>
    <w:autoRedefine/>
    <w:qFormat/>
    <w:uiPriority w:val="0"/>
    <w:pPr>
      <w:numPr>
        <w:ilvl w:val="0"/>
        <w:numId w:val="22"/>
      </w:numPr>
    </w:pPr>
    <w:rPr>
      <w:rFonts w:ascii="黑体" w:hAnsi="黑体" w:eastAsia="黑体"/>
      <w:vanish/>
      <w:sz w:val="2"/>
      <w:szCs w:val="2"/>
    </w:rPr>
  </w:style>
  <w:style w:type="paragraph" w:customStyle="1" w:styleId="101">
    <w:name w:val="样式6"/>
    <w:basedOn w:val="28"/>
    <w:next w:val="100"/>
    <w:autoRedefine/>
    <w:qFormat/>
    <w:uiPriority w:val="0"/>
    <w:pPr>
      <w:framePr w:wrap="notBeside" w:vAnchor="page" w:hAnchor="page" w:x="1372" w:y="568"/>
      <w:numPr>
        <w:ilvl w:val="0"/>
        <w:numId w:val="23"/>
      </w:numPr>
      <w:tabs>
        <w:tab w:val="clear" w:pos="420"/>
      </w:tabs>
      <w:snapToGrid w:val="0"/>
    </w:pPr>
    <w:rPr>
      <w:rFonts w:eastAsia="黑体" w:cs="Times New Roman"/>
      <w:kern w:val="0"/>
      <w:sz w:val="2"/>
    </w:rPr>
  </w:style>
  <w:style w:type="paragraph" w:customStyle="1" w:styleId="102">
    <w:name w:val="标准文件_附录图标号"/>
    <w:next w:val="28"/>
    <w:autoRedefine/>
    <w:qFormat/>
    <w:uiPriority w:val="0"/>
    <w:pPr>
      <w:numPr>
        <w:ilvl w:val="0"/>
        <w:numId w:val="24"/>
      </w:numPr>
      <w:spacing w:line="14" w:lineRule="exact"/>
    </w:pPr>
    <w:rPr>
      <w:rFonts w:ascii="宋体" w:hAnsi="宋体" w:eastAsia="宋体" w:cstheme="minorBidi"/>
      <w:vanish/>
      <w:sz w:val="2"/>
      <w:szCs w:val="2"/>
      <w:lang w:val="en-US" w:eastAsia="zh-CN" w:bidi="ar-SA"/>
    </w:rPr>
  </w:style>
  <w:style w:type="paragraph" w:customStyle="1" w:styleId="103">
    <w:name w:val="标准文件_附录图题注"/>
    <w:next w:val="28"/>
    <w:autoRedefine/>
    <w:qFormat/>
    <w:uiPriority w:val="0"/>
    <w:pPr>
      <w:numPr>
        <w:ilvl w:val="1"/>
        <w:numId w:val="24"/>
      </w:numPr>
      <w:tabs>
        <w:tab w:val="left" w:pos="420"/>
        <w:tab w:val="clear" w:pos="0"/>
      </w:tabs>
      <w:jc w:val="center"/>
    </w:pPr>
    <w:rPr>
      <w:rFonts w:ascii="黑体" w:hAnsi="黑体" w:eastAsia="黑体" w:cstheme="minorBidi"/>
      <w:sz w:val="21"/>
      <w:lang w:val="en-US" w:eastAsia="zh-CN" w:bidi="ar-SA"/>
    </w:rPr>
  </w:style>
  <w:style w:type="paragraph" w:customStyle="1" w:styleId="104">
    <w:name w:val="样式7"/>
    <w:basedOn w:val="1"/>
    <w:next w:val="18"/>
    <w:qFormat/>
    <w:uiPriority w:val="0"/>
    <w:pPr>
      <w:numPr>
        <w:ilvl w:val="0"/>
        <w:numId w:val="25"/>
      </w:numPr>
      <w:tabs>
        <w:tab w:val="left" w:pos="540"/>
        <w:tab w:val="clear" w:pos="539"/>
      </w:tabs>
      <w:ind w:left="420" w:firstLine="119"/>
      <w:jc w:val="left"/>
    </w:pPr>
    <w:rPr>
      <w:rFonts w:ascii="宋体" w:hAnsi="宋体"/>
      <w:sz w:val="18"/>
    </w:rPr>
  </w:style>
  <w:style w:type="paragraph" w:customStyle="1" w:styleId="105">
    <w:name w:val="标准文件_图表脚注"/>
    <w:basedOn w:val="1"/>
    <w:qFormat/>
    <w:uiPriority w:val="0"/>
    <w:pPr>
      <w:numPr>
        <w:ilvl w:val="0"/>
        <w:numId w:val="26"/>
      </w:numPr>
      <w:tabs>
        <w:tab w:val="left" w:pos="540"/>
        <w:tab w:val="clear" w:pos="539"/>
      </w:tabs>
      <w:ind w:left="420" w:firstLine="119"/>
      <w:jc w:val="left"/>
    </w:pPr>
    <w:rPr>
      <w:rFonts w:ascii="宋体" w:hAnsi="宋体"/>
      <w:sz w:val="18"/>
    </w:rPr>
  </w:style>
  <w:style w:type="paragraph" w:customStyle="1" w:styleId="106">
    <w:name w:val="标准文件_参考文献标题"/>
    <w:basedOn w:val="1"/>
    <w:next w:val="1"/>
    <w:qFormat/>
    <w:uiPriority w:val="0"/>
    <w:pPr>
      <w:spacing w:before="680" w:after="50" w:afterLines="50"/>
      <w:jc w:val="center"/>
      <w:outlineLvl w:val="0"/>
    </w:pPr>
    <w:rPr>
      <w:rFonts w:ascii="黑体" w:hAnsi="黑体" w:eastAsia="黑体"/>
      <w:sz w:val="21"/>
    </w:rPr>
  </w:style>
  <w:style w:type="paragraph" w:customStyle="1" w:styleId="107">
    <w:name w:val="样式8"/>
    <w:next w:val="108"/>
    <w:qFormat/>
    <w:uiPriority w:val="0"/>
    <w:pPr>
      <w:numPr>
        <w:ilvl w:val="0"/>
        <w:numId w:val="27"/>
      </w:numPr>
    </w:pPr>
    <w:rPr>
      <w:rFonts w:hint="eastAsia" w:ascii="宋体" w:hAnsi="宋体" w:eastAsia="宋体" w:cs="Times New Roman"/>
      <w:lang w:val="en-US" w:eastAsia="zh-CN" w:bidi="ar-SA"/>
    </w:rPr>
  </w:style>
  <w:style w:type="paragraph" w:customStyle="1" w:styleId="108">
    <w:name w:val="标准文件_参考文献条目"/>
    <w:basedOn w:val="1"/>
    <w:qFormat/>
    <w:uiPriority w:val="0"/>
    <w:pPr>
      <w:numPr>
        <w:ilvl w:val="0"/>
        <w:numId w:val="28"/>
      </w:numPr>
      <w:jc w:val="left"/>
    </w:pPr>
    <w:rPr>
      <w:rFonts w:ascii="宋体" w:hAnsi="宋体"/>
      <w:sz w:val="21"/>
    </w:rPr>
  </w:style>
  <w:style w:type="paragraph" w:customStyle="1" w:styleId="109">
    <w:name w:val="标准文件_目次标题"/>
    <w:basedOn w:val="1"/>
    <w:qFormat/>
    <w:uiPriority w:val="0"/>
    <w:pPr>
      <w:spacing w:before="480" w:after="150" w:afterLines="150"/>
      <w:jc w:val="center"/>
    </w:pPr>
    <w:rPr>
      <w:rFonts w:hint="eastAsia" w:ascii="黑体" w:hAnsi="黑体" w:eastAsia="黑体"/>
      <w:sz w:val="32"/>
    </w:rPr>
  </w:style>
  <w:style w:type="paragraph" w:customStyle="1" w:styleId="110">
    <w:name w:val="标准文件_索引标题"/>
    <w:basedOn w:val="106"/>
    <w:next w:val="18"/>
    <w:qFormat/>
    <w:uiPriority w:val="0"/>
    <w:pPr>
      <w:spacing w:before="560"/>
    </w:pPr>
    <w:rPr>
      <w:rFonts w:ascii="宋体" w:hAnsi="宋体"/>
    </w:rPr>
  </w:style>
  <w:style w:type="paragraph" w:customStyle="1" w:styleId="111">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12">
    <w:name w:val="标准文件_页脚偶数页"/>
    <w:qFormat/>
    <w:uiPriority w:val="0"/>
    <w:pPr>
      <w:ind w:left="198"/>
    </w:pPr>
    <w:rPr>
      <w:rFonts w:ascii="宋体" w:hAnsi="宋体" w:eastAsia="宋体" w:cs="Times New Roman"/>
      <w:sz w:val="18"/>
      <w:lang w:val="en-US" w:eastAsia="zh-CN" w:bidi="ar-SA"/>
    </w:rPr>
  </w:style>
  <w:style w:type="paragraph" w:customStyle="1" w:styleId="113">
    <w:name w:val="样式9"/>
    <w:basedOn w:val="18"/>
    <w:next w:val="18"/>
    <w:qFormat/>
    <w:uiPriority w:val="0"/>
    <w:pPr>
      <w:framePr w:wrap="notBeside" w:vAnchor="page" w:hAnchor="page" w:x="1372" w:y="568"/>
      <w:numPr>
        <w:ilvl w:val="0"/>
        <w:numId w:val="29"/>
      </w:numPr>
      <w:snapToGrid w:val="0"/>
    </w:pPr>
    <w:rPr>
      <w:rFonts w:ascii="黑体" w:hAnsi="黑体" w:eastAsia="黑体" w:cs="Times New Roman"/>
      <w:kern w:val="0"/>
    </w:rPr>
  </w:style>
  <w:style w:type="paragraph" w:customStyle="1" w:styleId="114">
    <w:name w:val="标准文件_引言一级条标题"/>
    <w:basedOn w:val="18"/>
    <w:next w:val="18"/>
    <w:qFormat/>
    <w:uiPriority w:val="0"/>
    <w:pPr>
      <w:numPr>
        <w:ilvl w:val="1"/>
        <w:numId w:val="29"/>
      </w:numPr>
      <w:spacing w:before="50" w:beforeLines="50" w:after="50" w:afterLines="50"/>
      <w:ind w:firstLineChars="0"/>
      <w:jc w:val="both"/>
    </w:pPr>
    <w:rPr>
      <w:rFonts w:ascii="黑体" w:hAnsi="黑体" w:eastAsia="黑体"/>
    </w:rPr>
  </w:style>
  <w:style w:type="paragraph" w:customStyle="1" w:styleId="115">
    <w:name w:val="标准文件_引言二级条标题"/>
    <w:basedOn w:val="18"/>
    <w:next w:val="18"/>
    <w:qFormat/>
    <w:uiPriority w:val="0"/>
    <w:pPr>
      <w:numPr>
        <w:ilvl w:val="2"/>
        <w:numId w:val="29"/>
      </w:numPr>
      <w:spacing w:before="50" w:beforeLines="50" w:after="50" w:afterLines="50"/>
      <w:ind w:firstLineChars="0"/>
      <w:jc w:val="both"/>
    </w:pPr>
    <w:rPr>
      <w:rFonts w:ascii="黑体" w:hAnsi="黑体" w:eastAsia="黑体"/>
    </w:rPr>
  </w:style>
  <w:style w:type="paragraph" w:customStyle="1" w:styleId="116">
    <w:name w:val="标准文件_引言三级条标题"/>
    <w:basedOn w:val="18"/>
    <w:next w:val="18"/>
    <w:qFormat/>
    <w:uiPriority w:val="0"/>
    <w:pPr>
      <w:numPr>
        <w:ilvl w:val="3"/>
        <w:numId w:val="29"/>
      </w:numPr>
      <w:spacing w:before="50" w:beforeLines="50" w:after="50" w:afterLines="50"/>
      <w:ind w:firstLineChars="0"/>
      <w:jc w:val="both"/>
    </w:pPr>
    <w:rPr>
      <w:rFonts w:ascii="黑体" w:hAnsi="黑体" w:eastAsia="黑体"/>
    </w:rPr>
  </w:style>
  <w:style w:type="paragraph" w:customStyle="1" w:styleId="117">
    <w:name w:val="标准文件_引言四级条标题"/>
    <w:basedOn w:val="18"/>
    <w:next w:val="18"/>
    <w:qFormat/>
    <w:uiPriority w:val="0"/>
    <w:pPr>
      <w:numPr>
        <w:ilvl w:val="4"/>
        <w:numId w:val="29"/>
      </w:numPr>
      <w:spacing w:before="50" w:beforeLines="50" w:after="50" w:afterLines="50"/>
      <w:ind w:firstLineChars="0"/>
      <w:jc w:val="both"/>
    </w:pPr>
    <w:rPr>
      <w:rFonts w:ascii="黑体" w:hAnsi="黑体" w:eastAsia="黑体"/>
    </w:rPr>
  </w:style>
  <w:style w:type="paragraph" w:customStyle="1" w:styleId="118">
    <w:name w:val="标准文件_引言五级条标题"/>
    <w:basedOn w:val="18"/>
    <w:next w:val="18"/>
    <w:qFormat/>
    <w:uiPriority w:val="0"/>
    <w:pPr>
      <w:numPr>
        <w:ilvl w:val="5"/>
        <w:numId w:val="29"/>
      </w:numPr>
      <w:spacing w:before="50" w:beforeLines="50" w:after="50" w:afterLines="50"/>
      <w:ind w:firstLineChars="0"/>
      <w:jc w:val="both"/>
    </w:pPr>
    <w:rPr>
      <w:rFonts w:ascii="黑体" w:hAnsi="黑体" w:eastAsia="黑体"/>
    </w:rPr>
  </w:style>
  <w:style w:type="paragraph" w:customStyle="1" w:styleId="119">
    <w:name w:val="标准文件_引言一级无标题"/>
    <w:basedOn w:val="114"/>
    <w:next w:val="18"/>
    <w:qFormat/>
    <w:uiPriority w:val="0"/>
    <w:pPr>
      <w:spacing w:before="0" w:beforeLines="0" w:after="0" w:afterLines="0" w:line="276" w:lineRule="auto"/>
    </w:pPr>
    <w:rPr>
      <w:rFonts w:hint="eastAsia" w:ascii="宋体" w:hAnsi="宋体" w:eastAsia="宋体"/>
    </w:rPr>
  </w:style>
  <w:style w:type="paragraph" w:customStyle="1" w:styleId="120">
    <w:name w:val="标准文件_引言二级无标题"/>
    <w:basedOn w:val="115"/>
    <w:next w:val="18"/>
    <w:qFormat/>
    <w:uiPriority w:val="0"/>
    <w:pPr>
      <w:spacing w:before="0" w:beforeLines="0" w:after="0" w:afterLines="0" w:line="276" w:lineRule="auto"/>
    </w:pPr>
    <w:rPr>
      <w:rFonts w:ascii="宋体" w:hAnsi="宋体" w:eastAsia="宋体"/>
    </w:rPr>
  </w:style>
  <w:style w:type="paragraph" w:customStyle="1" w:styleId="121">
    <w:name w:val="标准文件_引言三级无标题"/>
    <w:basedOn w:val="116"/>
    <w:next w:val="18"/>
    <w:qFormat/>
    <w:uiPriority w:val="0"/>
    <w:pPr>
      <w:spacing w:before="0" w:beforeLines="0" w:after="0" w:afterLines="0" w:line="276" w:lineRule="auto"/>
    </w:pPr>
    <w:rPr>
      <w:rFonts w:ascii="宋体" w:hAnsi="宋体" w:eastAsia="宋体"/>
    </w:rPr>
  </w:style>
  <w:style w:type="paragraph" w:customStyle="1" w:styleId="122">
    <w:name w:val="标准文件_引言四级无标题"/>
    <w:basedOn w:val="117"/>
    <w:next w:val="18"/>
    <w:qFormat/>
    <w:uiPriority w:val="0"/>
    <w:pPr>
      <w:spacing w:before="0" w:beforeLines="0" w:after="0" w:afterLines="0" w:line="276" w:lineRule="auto"/>
    </w:pPr>
    <w:rPr>
      <w:rFonts w:ascii="宋体" w:hAnsi="宋体" w:eastAsia="宋体"/>
    </w:rPr>
  </w:style>
  <w:style w:type="paragraph" w:customStyle="1" w:styleId="123">
    <w:name w:val="标准文件_引言五级无标题"/>
    <w:basedOn w:val="118"/>
    <w:next w:val="18"/>
    <w:qFormat/>
    <w:uiPriority w:val="0"/>
    <w:pPr>
      <w:spacing w:before="0" w:beforeLines="0" w:after="0" w:afterLines="0" w:line="276" w:lineRule="auto"/>
    </w:pPr>
    <w:rPr>
      <w:rFonts w:ascii="宋体" w:hAnsi="宋体" w:eastAsia="宋体"/>
    </w:rPr>
  </w:style>
  <w:style w:type="paragraph" w:customStyle="1" w:styleId="124">
    <w:name w:val="标准文件_一级项"/>
    <w:qFormat/>
    <w:uiPriority w:val="0"/>
    <w:pPr>
      <w:numPr>
        <w:ilvl w:val="0"/>
        <w:numId w:val="30"/>
      </w:numPr>
    </w:pPr>
    <w:rPr>
      <w:rFonts w:ascii="宋体" w:hAnsi="Times New Roman" w:eastAsia="宋体" w:cs="Times New Roman"/>
      <w:sz w:val="21"/>
      <w:lang w:val="en-US" w:eastAsia="zh-CN" w:bidi="ar-SA"/>
    </w:rPr>
  </w:style>
  <w:style w:type="paragraph" w:customStyle="1" w:styleId="125">
    <w:name w:val="标准文件_正文图标题"/>
    <w:next w:val="20"/>
    <w:qFormat/>
    <w:uiPriority w:val="0"/>
    <w:pPr>
      <w:numPr>
        <w:ilvl w:val="0"/>
        <w:numId w:val="31"/>
      </w:numPr>
      <w:spacing w:before="50" w:beforeLines="50" w:after="50" w:afterLines="50"/>
      <w:jc w:val="center"/>
    </w:pPr>
    <w:rPr>
      <w:rFonts w:ascii="黑体" w:hAnsi="Times New Roman" w:eastAsia="黑体" w:cs="Times New Roman"/>
      <w:sz w:val="21"/>
      <w:lang w:val="en-US" w:eastAsia="zh-CN" w:bidi="ar-SA"/>
    </w:rPr>
  </w:style>
  <w:style w:type="paragraph" w:customStyle="1" w:styleId="12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7">
    <w:name w:val="标准文件_附录表标题"/>
    <w:next w:val="20"/>
    <w:qFormat/>
    <w:uiPriority w:val="0"/>
    <w:pPr>
      <w:numPr>
        <w:ilvl w:val="1"/>
        <w:numId w:val="32"/>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2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29">
    <w:name w:val="标准文件_正文表标题"/>
    <w:next w:val="20"/>
    <w:qFormat/>
    <w:uiPriority w:val="0"/>
    <w:pPr>
      <w:numPr>
        <w:ilvl w:val="0"/>
        <w:numId w:val="3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0">
    <w:name w:val="标准文件_字母编号列项（一级）"/>
    <w:qFormat/>
    <w:uiPriority w:val="0"/>
    <w:pPr>
      <w:numPr>
        <w:ilvl w:val="0"/>
        <w:numId w:val="34"/>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png"/><Relationship Id="rId30" Type="http://schemas.openxmlformats.org/officeDocument/2006/relationships/image" Target="media/image1.png"/><Relationship Id="rId3" Type="http://schemas.openxmlformats.org/officeDocument/2006/relationships/header" Target="header1.xml"/><Relationship Id="rId29" Type="http://schemas.openxmlformats.org/officeDocument/2006/relationships/theme" Target="theme/theme1.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WPS%20Office\12.1.0.25865\office6\http:\wpstest.pzcode.cn\api\statics\2026-04-28\8d5624493c114867906ecf171dd5fb6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8d5624493c114867906ecf171dd5fb67.dotx</Template>
  <Pages>13</Pages>
  <Words>4686</Words>
  <Characters>5279</Characters>
  <Lines>6</Lines>
  <Paragraphs>1</Paragraphs>
  <TotalTime>3</TotalTime>
  <ScaleCrop>false</ScaleCrop>
  <LinksUpToDate>false</LinksUpToDate>
  <CharactersWithSpaces>5421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TB</cp:category>
  <dcterms:created xsi:type="dcterms:W3CDTF">2026-05-22T06:48:00Z</dcterms:created>
  <dc:creator>WPS_1671593713</dc:creator>
  <cp:lastModifiedBy>WPS_1671593713</cp:lastModifiedBy>
  <dcterms:modified xsi:type="dcterms:W3CDTF">2026-05-22T09:41:11Z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F7BBC2A139EF4D39BFBA057411B873BD_13</vt:lpwstr>
  </property>
  <property fmtid="{D5CDD505-2E9C-101B-9397-08002B2CF9AE}" pid="4" name="Company">
    <vt:lpwstr>jh</vt:lpwstr>
  </property>
  <property fmtid="{D5CDD505-2E9C-101B-9397-08002B2CF9AE}" pid="5" name="KSOTemplateDocerSaveRecord">
    <vt:lpwstr>eyJoZGlkIjoiN2U3YjM1YWM1MjYzZjcyNTg3NWNkYTZjYWYyNTM5OGQiLCJ1c2VySWQiOiIxNDYxNjM0OTYyIn0=</vt:lpwstr>
  </property>
  <property fmtid="{D5CDD505-2E9C-101B-9397-08002B2CF9AE}" pid="6" name="DoublePrinting">
    <vt:lpwstr>1</vt:lpwstr>
  </property>
</Properties>
</file>